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4A5AD">
      <w:pPr>
        <w:jc w:val="center"/>
        <w:rPr>
          <w:rFonts w:ascii="方正小标宋简体" w:hAnsi="方正小标宋简体" w:eastAsia="方正小标宋简体" w:cs="方正小标宋简体"/>
          <w:sz w:val="44"/>
          <w:szCs w:val="44"/>
        </w:rPr>
      </w:pPr>
    </w:p>
    <w:p w14:paraId="4F921F89">
      <w:pPr>
        <w:jc w:val="center"/>
        <w:rPr>
          <w:rFonts w:ascii="方正小标宋简体" w:hAnsi="方正小标宋简体" w:eastAsia="方正小标宋简体" w:cs="方正小标宋简体"/>
          <w:sz w:val="44"/>
          <w:szCs w:val="44"/>
        </w:rPr>
      </w:pPr>
    </w:p>
    <w:p w14:paraId="6C96F8F6">
      <w:pPr>
        <w:jc w:val="center"/>
        <w:rPr>
          <w:rFonts w:ascii="方正小标宋简体" w:hAnsi="方正小标宋简体" w:eastAsia="方正小标宋简体" w:cs="方正小标宋简体"/>
          <w:sz w:val="44"/>
          <w:szCs w:val="44"/>
        </w:rPr>
      </w:pPr>
    </w:p>
    <w:p w14:paraId="7EB12C53">
      <w:pPr>
        <w:jc w:val="center"/>
        <w:rPr>
          <w:rFonts w:ascii="方正小标宋简体" w:hAnsi="方正小标宋简体" w:eastAsia="方正小标宋简体" w:cs="方正小标宋简体"/>
          <w:sz w:val="44"/>
          <w:szCs w:val="44"/>
        </w:rPr>
      </w:pPr>
    </w:p>
    <w:p w14:paraId="66093AF1">
      <w:pPr>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天津港保税区202</w:t>
      </w:r>
      <w:r>
        <w:rPr>
          <w:rFonts w:hint="eastAsia" w:ascii="方正小标宋简体" w:hAnsi="方正小标宋简体" w:eastAsia="方正小标宋简体" w:cs="方正小标宋简体"/>
          <w:b/>
          <w:bCs/>
          <w:sz w:val="44"/>
          <w:szCs w:val="44"/>
          <w:lang w:val="en-US" w:eastAsia="zh-CN"/>
        </w:rPr>
        <w:t>6</w:t>
      </w:r>
      <w:r>
        <w:rPr>
          <w:rFonts w:hint="eastAsia" w:ascii="方正小标宋简体" w:hAnsi="方正小标宋简体" w:eastAsia="方正小标宋简体" w:cs="方正小标宋简体"/>
          <w:b/>
          <w:bCs/>
          <w:sz w:val="44"/>
          <w:szCs w:val="44"/>
        </w:rPr>
        <w:t>年“揭榜挂帅”项目</w:t>
      </w:r>
    </w:p>
    <w:p w14:paraId="457F899B">
      <w:pPr>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技术需求榜单</w:t>
      </w:r>
    </w:p>
    <w:p w14:paraId="01EDE8E5">
      <w:pPr>
        <w:rPr>
          <w:b/>
          <w:bCs/>
        </w:rPr>
      </w:pPr>
    </w:p>
    <w:p w14:paraId="70663C26">
      <w:pPr>
        <w:rPr>
          <w:b/>
          <w:bCs/>
        </w:rPr>
      </w:pPr>
    </w:p>
    <w:p w14:paraId="16DAAA80">
      <w:pPr>
        <w:rPr>
          <w:b/>
          <w:bCs/>
        </w:rPr>
      </w:pPr>
    </w:p>
    <w:p w14:paraId="76663604"/>
    <w:p w14:paraId="2CC8AE56"/>
    <w:p w14:paraId="02100999"/>
    <w:p w14:paraId="2FFE4CA1"/>
    <w:p w14:paraId="694B70DB"/>
    <w:p w14:paraId="72793F9C"/>
    <w:p w14:paraId="45179489"/>
    <w:p w14:paraId="4D501EFB"/>
    <w:p w14:paraId="46F4425A"/>
    <w:p w14:paraId="66EFD3BD"/>
    <w:p w14:paraId="41F17A2F"/>
    <w:p w14:paraId="5C888137"/>
    <w:p w14:paraId="3B76F761"/>
    <w:p w14:paraId="4081734A"/>
    <w:p w14:paraId="15568D15"/>
    <w:p w14:paraId="615930EA"/>
    <w:p w14:paraId="5BF35BB8"/>
    <w:p w14:paraId="5F99AA19"/>
    <w:p w14:paraId="4954F734"/>
    <w:p w14:paraId="3F0381A8"/>
    <w:p w14:paraId="6A020CFA"/>
    <w:p w14:paraId="62F316B9"/>
    <w:p w14:paraId="774DC020"/>
    <w:p w14:paraId="40D6F8F9">
      <w:pPr>
        <w:sectPr>
          <w:pgSz w:w="11900" w:h="16840"/>
          <w:pgMar w:top="1440" w:right="1800" w:bottom="1440" w:left="1800" w:header="851" w:footer="992" w:gutter="0"/>
          <w:cols w:space="425" w:num="1"/>
          <w:docGrid w:type="lines" w:linePitch="312" w:charSpace="0"/>
        </w:sectPr>
      </w:pPr>
    </w:p>
    <w:p w14:paraId="65AB1503"/>
    <w:p w14:paraId="047548BB"/>
    <w:p w14:paraId="7C202F1F">
      <w:pPr>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目录</w:t>
      </w:r>
    </w:p>
    <w:p w14:paraId="00ED8DA7">
      <w:pPr>
        <w:rPr>
          <w:rFonts w:ascii="仿宋_GB2312" w:hAnsi="仿宋_GB2312" w:eastAsia="仿宋_GB2312" w:cs="仿宋_GB2312"/>
          <w:sz w:val="32"/>
          <w:szCs w:val="32"/>
        </w:rPr>
      </w:pPr>
      <w:r>
        <w:rPr>
          <w:rFonts w:hint="eastAsia" w:ascii="仿宋_GB2312" w:hAnsi="仿宋_GB2312" w:eastAsia="仿宋_GB2312" w:cs="仿宋_GB2312"/>
          <w:b/>
          <w:bCs/>
          <w:sz w:val="32"/>
          <w:szCs w:val="32"/>
        </w:rPr>
        <w:t>天津港保税区202</w:t>
      </w: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年“揭榜挂帅”项目技术需求榜单汇总表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w:t>
      </w:r>
    </w:p>
    <w:p w14:paraId="184D840A">
      <w:pPr>
        <w:ind w:left="0" w:leftChars="0" w:firstLine="0" w:firstLineChars="0"/>
        <w:rPr>
          <w:rFonts w:hint="eastAsia" w:ascii="仿宋_GB2312" w:hAnsi="仿宋_GB2312" w:eastAsia="仿宋_GB2312" w:cs="仿宋_GB2312"/>
          <w:w w:val="90"/>
          <w:sz w:val="32"/>
          <w:szCs w:val="32"/>
          <w:lang w:val="en-US" w:eastAsia="zh-CN"/>
        </w:rPr>
      </w:pPr>
      <w:r>
        <w:rPr>
          <w:rFonts w:hint="eastAsia" w:ascii="仿宋_GB2312" w:hAnsi="仿宋_GB2312" w:eastAsia="仿宋_GB2312" w:cs="仿宋_GB2312"/>
          <w:b/>
          <w:bCs/>
          <w:w w:val="90"/>
          <w:sz w:val="32"/>
          <w:szCs w:val="32"/>
        </w:rPr>
        <w:t>项目</w:t>
      </w:r>
      <w:r>
        <w:rPr>
          <w:rFonts w:hint="eastAsia" w:ascii="仿宋_GB2312" w:hAnsi="仿宋_GB2312" w:eastAsia="仿宋_GB2312" w:cs="仿宋_GB2312"/>
          <w:b/>
          <w:bCs/>
          <w:w w:val="90"/>
          <w:sz w:val="32"/>
          <w:szCs w:val="32"/>
          <w:lang w:val="en-US" w:eastAsia="zh-CN"/>
        </w:rPr>
        <w:t>一:</w:t>
      </w:r>
      <w:r>
        <w:rPr>
          <w:rFonts w:hint="eastAsia" w:ascii="仿宋_GB2312" w:hAnsi="仿宋_GB2312" w:eastAsia="仿宋_GB2312" w:cs="仿宋_GB2312"/>
          <w:b w:val="0"/>
          <w:bCs w:val="0"/>
          <w:w w:val="90"/>
          <w:sz w:val="32"/>
          <w:szCs w:val="32"/>
          <w:lang w:val="en-US" w:eastAsia="zh-CN"/>
        </w:rPr>
        <w:t xml:space="preserve"> 海洋漂浮结构新型螺旋桩锚基础承载特性及施工设备研发.</w:t>
      </w:r>
      <w:r>
        <w:rPr>
          <w:rFonts w:hint="eastAsia" w:ascii="仿宋_GB2312" w:hAnsi="仿宋_GB2312" w:eastAsia="仿宋_GB2312" w:cs="仿宋_GB2312"/>
          <w:b w:val="0"/>
          <w:bCs w:val="0"/>
          <w:w w:val="90"/>
          <w:sz w:val="32"/>
          <w:szCs w:val="32"/>
        </w:rPr>
        <w:t>.</w:t>
      </w:r>
      <w:r>
        <w:rPr>
          <w:rFonts w:hint="eastAsia" w:ascii="仿宋_GB2312" w:hAnsi="仿宋_GB2312" w:eastAsia="仿宋_GB2312" w:cs="仿宋_GB2312"/>
          <w:w w:val="90"/>
          <w:sz w:val="32"/>
          <w:szCs w:val="32"/>
        </w:rPr>
        <w:t>.</w:t>
      </w:r>
      <w:r>
        <w:rPr>
          <w:rFonts w:hint="eastAsia" w:ascii="仿宋_GB2312" w:hAnsi="仿宋_GB2312" w:eastAsia="仿宋_GB2312" w:cs="仿宋_GB2312"/>
          <w:w w:val="90"/>
          <w:sz w:val="32"/>
          <w:szCs w:val="32"/>
          <w:lang w:val="en-US" w:eastAsia="zh-CN"/>
        </w:rPr>
        <w:t>..................................................</w:t>
      </w:r>
      <w:r>
        <w:rPr>
          <w:rFonts w:hint="eastAsia" w:ascii="仿宋_GB2312" w:hAnsi="仿宋_GB2312" w:eastAsia="仿宋_GB2312" w:cs="仿宋_GB2312"/>
          <w:w w:val="90"/>
          <w:sz w:val="32"/>
          <w:szCs w:val="32"/>
        </w:rPr>
        <w:t>.</w:t>
      </w:r>
      <w:r>
        <w:rPr>
          <w:rFonts w:hint="eastAsia" w:ascii="仿宋_GB2312" w:hAnsi="仿宋_GB2312" w:eastAsia="仿宋_GB2312" w:cs="仿宋_GB2312"/>
          <w:w w:val="90"/>
          <w:sz w:val="32"/>
          <w:szCs w:val="32"/>
          <w:lang w:val="en-US" w:eastAsia="zh-CN"/>
        </w:rPr>
        <w:t>2</w:t>
      </w:r>
    </w:p>
    <w:p w14:paraId="2173EF2B">
      <w:pPr>
        <w:rPr>
          <w:rFonts w:hint="eastAsia" w:ascii="仿宋_GB2312" w:hAnsi="仿宋_GB2312" w:eastAsia="仿宋_GB2312" w:cs="仿宋_GB2312"/>
          <w:w w:val="90"/>
          <w:sz w:val="32"/>
          <w:szCs w:val="32"/>
        </w:rPr>
      </w:pPr>
      <w:r>
        <w:rPr>
          <w:rFonts w:hint="eastAsia" w:ascii="仿宋_GB2312" w:hAnsi="仿宋_GB2312" w:eastAsia="仿宋_GB2312" w:cs="仿宋_GB2312"/>
          <w:b/>
          <w:bCs/>
          <w:w w:val="90"/>
          <w:sz w:val="32"/>
          <w:szCs w:val="32"/>
        </w:rPr>
        <w:t>项目</w:t>
      </w:r>
      <w:r>
        <w:rPr>
          <w:rFonts w:hint="eastAsia" w:ascii="仿宋_GB2312" w:hAnsi="仿宋_GB2312" w:eastAsia="仿宋_GB2312" w:cs="仿宋_GB2312"/>
          <w:b/>
          <w:bCs/>
          <w:w w:val="90"/>
          <w:sz w:val="32"/>
          <w:szCs w:val="32"/>
          <w:lang w:val="en-US" w:eastAsia="zh-CN"/>
        </w:rPr>
        <w:t>二</w:t>
      </w:r>
      <w:r>
        <w:rPr>
          <w:rFonts w:hint="eastAsia" w:ascii="仿宋_GB2312" w:hAnsi="仿宋_GB2312" w:eastAsia="仿宋_GB2312" w:cs="仿宋_GB2312"/>
          <w:b/>
          <w:bCs/>
          <w:w w:val="90"/>
          <w:sz w:val="32"/>
          <w:szCs w:val="32"/>
          <w:lang w:eastAsia="zh-CN"/>
        </w:rPr>
        <w:t>：</w:t>
      </w:r>
      <w:r>
        <w:rPr>
          <w:rFonts w:hint="eastAsia" w:ascii="仿宋_GB2312" w:hAnsi="仿宋_GB2312" w:eastAsia="仿宋_GB2312" w:cs="仿宋_GB2312"/>
          <w:b w:val="0"/>
          <w:bCs w:val="0"/>
          <w:w w:val="90"/>
          <w:sz w:val="32"/>
          <w:szCs w:val="32"/>
          <w:lang w:eastAsia="zh-CN"/>
        </w:rPr>
        <w:t>一步法发酵泰万菌素</w:t>
      </w:r>
      <w:r>
        <w:rPr>
          <w:rFonts w:hint="eastAsia" w:ascii="仿宋_GB2312" w:hAnsi="仿宋_GB2312" w:eastAsia="仿宋_GB2312" w:cs="仿宋_GB2312"/>
          <w:w w:val="90"/>
          <w:sz w:val="32"/>
          <w:szCs w:val="32"/>
          <w:lang w:val="en-US" w:eastAsia="zh-CN"/>
        </w:rPr>
        <w:t>..............................4</w:t>
      </w:r>
    </w:p>
    <w:p w14:paraId="40AE916C">
      <w:pPr>
        <w:rPr>
          <w:rFonts w:hint="eastAsia" w:ascii="仿宋_GB2312" w:hAnsi="仿宋_GB2312" w:eastAsia="仿宋_GB2312" w:cs="仿宋_GB2312"/>
          <w:w w:val="90"/>
          <w:sz w:val="32"/>
          <w:szCs w:val="32"/>
          <w:lang w:val="en-US" w:eastAsia="zh-CN"/>
        </w:rPr>
      </w:pPr>
      <w:r>
        <w:rPr>
          <w:rFonts w:hint="eastAsia" w:ascii="仿宋_GB2312" w:hAnsi="仿宋_GB2312" w:eastAsia="仿宋_GB2312" w:cs="仿宋_GB2312"/>
          <w:b/>
          <w:bCs/>
          <w:w w:val="90"/>
          <w:sz w:val="32"/>
          <w:szCs w:val="32"/>
        </w:rPr>
        <w:t>项目</w:t>
      </w:r>
      <w:r>
        <w:rPr>
          <w:rFonts w:hint="eastAsia" w:ascii="仿宋_GB2312" w:hAnsi="仿宋_GB2312" w:eastAsia="仿宋_GB2312" w:cs="仿宋_GB2312"/>
          <w:b/>
          <w:bCs/>
          <w:w w:val="90"/>
          <w:sz w:val="32"/>
          <w:szCs w:val="32"/>
          <w:lang w:val="en-US" w:eastAsia="zh-CN"/>
        </w:rPr>
        <w:t>三</w:t>
      </w:r>
      <w:r>
        <w:rPr>
          <w:rFonts w:hint="eastAsia" w:ascii="仿宋_GB2312" w:hAnsi="仿宋_GB2312" w:eastAsia="仿宋_GB2312" w:cs="仿宋_GB2312"/>
          <w:b/>
          <w:bCs/>
          <w:w w:val="90"/>
          <w:sz w:val="32"/>
          <w:szCs w:val="32"/>
        </w:rPr>
        <w:t>：</w:t>
      </w:r>
      <w:r>
        <w:rPr>
          <w:rFonts w:hint="eastAsia" w:ascii="仿宋_GB2312" w:hAnsi="仿宋_GB2312" w:eastAsia="仿宋_GB2312" w:cs="仿宋_GB2312"/>
          <w:w w:val="90"/>
          <w:sz w:val="32"/>
          <w:szCs w:val="32"/>
        </w:rPr>
        <w:t>抗菌肽低成本分离纯化技术</w:t>
      </w:r>
      <w:r>
        <w:rPr>
          <w:rFonts w:hint="eastAsia" w:ascii="仿宋_GB2312" w:hAnsi="仿宋_GB2312" w:eastAsia="仿宋_GB2312" w:cs="仿宋_GB2312"/>
          <w:w w:val="90"/>
          <w:sz w:val="32"/>
          <w:szCs w:val="32"/>
          <w:lang w:val="en-US" w:eastAsia="zh-CN"/>
        </w:rPr>
        <w:t>.......................</w:t>
      </w:r>
      <w:r>
        <w:rPr>
          <w:rFonts w:hint="eastAsia" w:ascii="仿宋_GB2312" w:hAnsi="仿宋_GB2312" w:eastAsia="仿宋_GB2312" w:cs="仿宋_GB2312"/>
          <w:w w:val="90"/>
          <w:sz w:val="32"/>
          <w:szCs w:val="32"/>
        </w:rPr>
        <w:t>.</w:t>
      </w:r>
      <w:r>
        <w:rPr>
          <w:rFonts w:hint="eastAsia" w:ascii="仿宋_GB2312" w:hAnsi="仿宋_GB2312" w:eastAsia="仿宋_GB2312" w:cs="仿宋_GB2312"/>
          <w:w w:val="90"/>
          <w:sz w:val="32"/>
          <w:szCs w:val="32"/>
          <w:lang w:val="en-US" w:eastAsia="zh-CN"/>
        </w:rPr>
        <w:t>5</w:t>
      </w:r>
    </w:p>
    <w:p w14:paraId="4C403C54">
      <w:pPr>
        <w:rPr>
          <w:rFonts w:hint="default" w:ascii="仿宋_GB2312" w:hAnsi="仿宋_GB2312" w:eastAsia="仿宋_GB2312" w:cs="仿宋_GB2312"/>
          <w:w w:val="90"/>
          <w:sz w:val="32"/>
          <w:szCs w:val="32"/>
          <w:lang w:val="en-US" w:eastAsia="zh-CN"/>
        </w:rPr>
      </w:pPr>
      <w:r>
        <w:rPr>
          <w:rFonts w:hint="eastAsia" w:ascii="仿宋_GB2312" w:hAnsi="仿宋_GB2312" w:eastAsia="仿宋_GB2312" w:cs="仿宋_GB2312"/>
          <w:b/>
          <w:bCs/>
          <w:w w:val="90"/>
          <w:sz w:val="32"/>
          <w:szCs w:val="32"/>
        </w:rPr>
        <w:t>项目</w:t>
      </w:r>
      <w:r>
        <w:rPr>
          <w:rFonts w:hint="eastAsia" w:ascii="仿宋_GB2312" w:hAnsi="仿宋_GB2312" w:eastAsia="仿宋_GB2312" w:cs="仿宋_GB2312"/>
          <w:b/>
          <w:bCs/>
          <w:w w:val="90"/>
          <w:sz w:val="32"/>
          <w:szCs w:val="32"/>
          <w:lang w:val="en-US" w:eastAsia="zh-CN"/>
        </w:rPr>
        <w:t>四</w:t>
      </w:r>
      <w:r>
        <w:rPr>
          <w:rFonts w:hint="eastAsia" w:ascii="仿宋_GB2312" w:hAnsi="仿宋_GB2312" w:eastAsia="仿宋_GB2312" w:cs="仿宋_GB2312"/>
          <w:b/>
          <w:bCs/>
          <w:w w:val="90"/>
          <w:sz w:val="32"/>
          <w:szCs w:val="32"/>
        </w:rPr>
        <w:t>：</w:t>
      </w:r>
      <w:r>
        <w:rPr>
          <w:rFonts w:hint="eastAsia" w:ascii="仿宋_GB2312" w:hAnsi="仿宋_GB2312" w:eastAsia="仿宋_GB2312" w:cs="仿宋_GB2312"/>
          <w:w w:val="90"/>
          <w:sz w:val="32"/>
          <w:szCs w:val="32"/>
        </w:rPr>
        <w:t>动物类器官药物活性评价技术</w:t>
      </w:r>
      <w:r>
        <w:rPr>
          <w:rFonts w:hint="eastAsia" w:ascii="仿宋_GB2312" w:hAnsi="仿宋_GB2312" w:eastAsia="仿宋_GB2312" w:cs="仿宋_GB2312"/>
          <w:w w:val="90"/>
          <w:sz w:val="32"/>
          <w:szCs w:val="32"/>
          <w:lang w:val="en-US" w:eastAsia="zh-CN"/>
        </w:rPr>
        <w:t>......</w:t>
      </w:r>
      <w:r>
        <w:rPr>
          <w:rFonts w:hint="eastAsia" w:ascii="仿宋_GB2312" w:hAnsi="仿宋_GB2312" w:eastAsia="仿宋_GB2312" w:cs="仿宋_GB2312"/>
          <w:w w:val="90"/>
          <w:sz w:val="32"/>
          <w:szCs w:val="32"/>
        </w:rPr>
        <w:t>...</w:t>
      </w:r>
      <w:r>
        <w:rPr>
          <w:rFonts w:hint="eastAsia" w:ascii="仿宋_GB2312" w:hAnsi="仿宋_GB2312" w:eastAsia="仿宋_GB2312" w:cs="仿宋_GB2312"/>
          <w:w w:val="90"/>
          <w:sz w:val="32"/>
          <w:szCs w:val="32"/>
          <w:lang w:val="en-US" w:eastAsia="zh-CN"/>
        </w:rPr>
        <w:t>.............6</w:t>
      </w:r>
    </w:p>
    <w:p w14:paraId="1D1C1C35">
      <w:pPr>
        <w:rPr>
          <w:rFonts w:hint="default" w:ascii="仿宋_GB2312" w:hAnsi="仿宋_GB2312" w:eastAsia="仿宋_GB2312" w:cs="仿宋_GB2312"/>
          <w:w w:val="90"/>
          <w:sz w:val="32"/>
          <w:szCs w:val="32"/>
          <w:lang w:val="en-US" w:eastAsia="zh-CN"/>
        </w:rPr>
      </w:pPr>
      <w:r>
        <w:rPr>
          <w:rFonts w:hint="eastAsia" w:ascii="仿宋_GB2312" w:hAnsi="仿宋_GB2312" w:eastAsia="仿宋_GB2312" w:cs="仿宋_GB2312"/>
          <w:b/>
          <w:bCs/>
          <w:w w:val="90"/>
          <w:sz w:val="32"/>
          <w:szCs w:val="32"/>
        </w:rPr>
        <w:t>项目</w:t>
      </w:r>
      <w:r>
        <w:rPr>
          <w:rFonts w:hint="eastAsia" w:ascii="仿宋_GB2312" w:hAnsi="仿宋_GB2312" w:eastAsia="仿宋_GB2312" w:cs="仿宋_GB2312"/>
          <w:b/>
          <w:bCs/>
          <w:w w:val="90"/>
          <w:sz w:val="32"/>
          <w:szCs w:val="32"/>
          <w:lang w:val="en-US" w:eastAsia="zh-CN"/>
        </w:rPr>
        <w:t>五</w:t>
      </w:r>
      <w:r>
        <w:rPr>
          <w:rFonts w:hint="eastAsia" w:ascii="仿宋_GB2312" w:hAnsi="仿宋_GB2312" w:eastAsia="仿宋_GB2312" w:cs="仿宋_GB2312"/>
          <w:b/>
          <w:bCs/>
          <w:w w:val="90"/>
          <w:sz w:val="32"/>
          <w:szCs w:val="32"/>
        </w:rPr>
        <w:t>：</w:t>
      </w:r>
      <w:r>
        <w:rPr>
          <w:rFonts w:hint="eastAsia" w:ascii="仿宋_GB2312" w:hAnsi="仿宋_GB2312" w:eastAsia="仿宋_GB2312" w:cs="仿宋_GB2312"/>
          <w:w w:val="90"/>
          <w:sz w:val="32"/>
          <w:szCs w:val="32"/>
        </w:rPr>
        <w:t>具有自主知识产权的动物核酸药物递送系统</w:t>
      </w:r>
      <w:r>
        <w:rPr>
          <w:rFonts w:hint="eastAsia" w:ascii="仿宋_GB2312" w:hAnsi="仿宋_GB2312" w:eastAsia="仿宋_GB2312" w:cs="仿宋_GB2312"/>
          <w:w w:val="90"/>
          <w:sz w:val="32"/>
          <w:szCs w:val="32"/>
          <w:lang w:val="en-US" w:eastAsia="zh-CN"/>
        </w:rPr>
        <w:t>..</w:t>
      </w:r>
      <w:r>
        <w:rPr>
          <w:rFonts w:hint="eastAsia" w:ascii="仿宋_GB2312" w:hAnsi="仿宋_GB2312" w:eastAsia="仿宋_GB2312" w:cs="仿宋_GB2312"/>
          <w:w w:val="90"/>
          <w:sz w:val="32"/>
          <w:szCs w:val="32"/>
        </w:rPr>
        <w:t>.</w:t>
      </w:r>
      <w:r>
        <w:rPr>
          <w:rFonts w:hint="eastAsia" w:ascii="仿宋_GB2312" w:hAnsi="仿宋_GB2312" w:eastAsia="仿宋_GB2312" w:cs="仿宋_GB2312"/>
          <w:w w:val="90"/>
          <w:sz w:val="32"/>
          <w:szCs w:val="32"/>
          <w:lang w:val="en-US" w:eastAsia="zh-CN"/>
        </w:rPr>
        <w:t>.......7</w:t>
      </w:r>
    </w:p>
    <w:p w14:paraId="003F9984">
      <w:pPr>
        <w:rPr>
          <w:rFonts w:hint="default" w:ascii="仿宋_GB2312" w:hAnsi="仿宋_GB2312" w:eastAsia="仿宋_GB2312" w:cs="仿宋_GB2312"/>
          <w:w w:val="90"/>
          <w:sz w:val="32"/>
          <w:szCs w:val="32"/>
          <w:lang w:val="en-US" w:eastAsia="zh-CN"/>
        </w:rPr>
      </w:pPr>
    </w:p>
    <w:p w14:paraId="4371282E">
      <w:pPr>
        <w:rPr>
          <w:rFonts w:ascii="仿宋_GB2312" w:hAnsi="仿宋_GB2312" w:eastAsia="仿宋_GB2312" w:cs="仿宋_GB2312"/>
          <w:sz w:val="32"/>
          <w:szCs w:val="32"/>
        </w:rPr>
      </w:pPr>
    </w:p>
    <w:p w14:paraId="77D0E8D6">
      <w:pPr>
        <w:rPr>
          <w:rFonts w:ascii="仿宋_GB2312" w:hAnsi="仿宋_GB2312" w:eastAsia="仿宋_GB2312" w:cs="仿宋_GB2312"/>
          <w:sz w:val="32"/>
          <w:szCs w:val="32"/>
        </w:rPr>
      </w:pPr>
    </w:p>
    <w:p w14:paraId="76C1DFE0">
      <w:pPr>
        <w:rPr>
          <w:rFonts w:ascii="仿宋_GB2312" w:hAnsi="仿宋_GB2312" w:eastAsia="仿宋_GB2312" w:cs="仿宋_GB2312"/>
          <w:sz w:val="32"/>
          <w:szCs w:val="32"/>
        </w:rPr>
      </w:pPr>
    </w:p>
    <w:p w14:paraId="0EFF2B8D">
      <w:pPr>
        <w:rPr>
          <w:rFonts w:ascii="仿宋_GB2312" w:hAnsi="仿宋_GB2312" w:eastAsia="仿宋_GB2312" w:cs="仿宋_GB2312"/>
          <w:b/>
          <w:bCs/>
          <w:sz w:val="32"/>
          <w:szCs w:val="32"/>
        </w:rPr>
        <w:sectPr>
          <w:footerReference r:id="rId3" w:type="default"/>
          <w:pgSz w:w="11900" w:h="16840"/>
          <w:pgMar w:top="1440" w:right="1800" w:bottom="1440" w:left="1800" w:header="851" w:footer="992" w:gutter="0"/>
          <w:pgNumType w:fmt="decimal" w:start="1"/>
          <w:cols w:space="425" w:num="1"/>
          <w:docGrid w:type="lines" w:linePitch="312" w:charSpace="0"/>
        </w:sectPr>
      </w:pPr>
    </w:p>
    <w:p w14:paraId="341E3584">
      <w:pPr>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天津港保税区202</w:t>
      </w: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年“揭榜挂帅”项目技术需求榜单汇总表</w:t>
      </w:r>
    </w:p>
    <w:tbl>
      <w:tblPr>
        <w:tblStyle w:val="5"/>
        <w:tblW w:w="14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7333"/>
        <w:gridCol w:w="3440"/>
        <w:gridCol w:w="2712"/>
      </w:tblGrid>
      <w:tr w14:paraId="4929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Pr>
          <w:p w14:paraId="6EAEAA8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序号</w:t>
            </w:r>
          </w:p>
        </w:tc>
        <w:tc>
          <w:tcPr>
            <w:tcW w:w="7333" w:type="dxa"/>
          </w:tcPr>
          <w:p w14:paraId="7D4C850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需求名称</w:t>
            </w:r>
          </w:p>
        </w:tc>
        <w:tc>
          <w:tcPr>
            <w:tcW w:w="3440" w:type="dxa"/>
          </w:tcPr>
          <w:p w14:paraId="7E4D909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技术领域</w:t>
            </w:r>
          </w:p>
        </w:tc>
        <w:tc>
          <w:tcPr>
            <w:tcW w:w="2712" w:type="dxa"/>
          </w:tcPr>
          <w:p w14:paraId="6B2FDF9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拟投入金额（万元）</w:t>
            </w:r>
          </w:p>
        </w:tc>
      </w:tr>
      <w:tr w14:paraId="3286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Pr>
          <w:p w14:paraId="77B1C902">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7333" w:type="dxa"/>
          </w:tcPr>
          <w:p w14:paraId="22C3819C">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海洋漂浮结构新型螺旋桩锚基础承载特性及施工设备研发</w:t>
            </w:r>
          </w:p>
        </w:tc>
        <w:tc>
          <w:tcPr>
            <w:tcW w:w="3440" w:type="dxa"/>
          </w:tcPr>
          <w:p w14:paraId="23CB126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海洋装备</w:t>
            </w:r>
          </w:p>
        </w:tc>
        <w:tc>
          <w:tcPr>
            <w:tcW w:w="2712" w:type="dxa"/>
          </w:tcPr>
          <w:p w14:paraId="25CE77CA">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200</w:t>
            </w:r>
          </w:p>
        </w:tc>
      </w:tr>
      <w:tr w14:paraId="2D426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Pr>
          <w:p w14:paraId="0CBCC0C1">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p>
        </w:tc>
        <w:tc>
          <w:tcPr>
            <w:tcW w:w="7333" w:type="dxa"/>
          </w:tcPr>
          <w:p w14:paraId="46A28236">
            <w:pPr>
              <w:rPr>
                <w:rFonts w:ascii="仿宋_GB2312" w:hAnsi="仿宋_GB2312" w:eastAsia="仿宋_GB2312" w:cs="仿宋_GB2312"/>
                <w:sz w:val="28"/>
                <w:szCs w:val="28"/>
              </w:rPr>
            </w:pPr>
            <w:r>
              <w:rPr>
                <w:rFonts w:hint="eastAsia" w:ascii="仿宋_GB2312" w:hAnsi="仿宋_GB2312" w:eastAsia="仿宋_GB2312" w:cs="仿宋_GB2312"/>
                <w:sz w:val="28"/>
                <w:szCs w:val="28"/>
              </w:rPr>
              <w:t>一步法发酵泰万菌素</w:t>
            </w:r>
          </w:p>
        </w:tc>
        <w:tc>
          <w:tcPr>
            <w:tcW w:w="3440" w:type="dxa"/>
          </w:tcPr>
          <w:p w14:paraId="63F500A8">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生物制造</w:t>
            </w:r>
          </w:p>
        </w:tc>
        <w:tc>
          <w:tcPr>
            <w:tcW w:w="2712" w:type="dxa"/>
          </w:tcPr>
          <w:p w14:paraId="58E5C2C3">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100-300</w:t>
            </w:r>
          </w:p>
        </w:tc>
      </w:tr>
      <w:tr w14:paraId="48EC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Pr>
          <w:p w14:paraId="08115F26">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7333" w:type="dxa"/>
          </w:tcPr>
          <w:p w14:paraId="0D999A86">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抗菌肽低成本分离纯化技术</w:t>
            </w:r>
          </w:p>
        </w:tc>
        <w:tc>
          <w:tcPr>
            <w:tcW w:w="3440" w:type="dxa"/>
          </w:tcPr>
          <w:p w14:paraId="735C3179">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生物制造</w:t>
            </w:r>
          </w:p>
        </w:tc>
        <w:tc>
          <w:tcPr>
            <w:tcW w:w="2712" w:type="dxa"/>
          </w:tcPr>
          <w:p w14:paraId="51CDC215">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50</w:t>
            </w:r>
          </w:p>
        </w:tc>
      </w:tr>
      <w:tr w14:paraId="646B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Pr>
          <w:p w14:paraId="20A4BC14">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p>
        </w:tc>
        <w:tc>
          <w:tcPr>
            <w:tcW w:w="7333" w:type="dxa"/>
          </w:tcPr>
          <w:p w14:paraId="256CCDBF">
            <w:pPr>
              <w:rPr>
                <w:rFonts w:ascii="仿宋_GB2312" w:hAnsi="仿宋_GB2312" w:eastAsia="仿宋_GB2312" w:cs="仿宋_GB2312"/>
                <w:sz w:val="28"/>
                <w:szCs w:val="28"/>
              </w:rPr>
            </w:pPr>
            <w:r>
              <w:rPr>
                <w:rFonts w:hint="eastAsia" w:ascii="仿宋_GB2312" w:hAnsi="仿宋_GB2312" w:eastAsia="仿宋_GB2312" w:cs="仿宋_GB2312"/>
                <w:sz w:val="28"/>
                <w:szCs w:val="28"/>
              </w:rPr>
              <w:t>动物类器官药物活性评价技术</w:t>
            </w:r>
          </w:p>
        </w:tc>
        <w:tc>
          <w:tcPr>
            <w:tcW w:w="3440" w:type="dxa"/>
          </w:tcPr>
          <w:p w14:paraId="640F8183">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生物制造</w:t>
            </w:r>
          </w:p>
        </w:tc>
        <w:tc>
          <w:tcPr>
            <w:tcW w:w="2712" w:type="dxa"/>
          </w:tcPr>
          <w:p w14:paraId="2A139A25">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50</w:t>
            </w:r>
          </w:p>
        </w:tc>
      </w:tr>
      <w:tr w14:paraId="7431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60" w:type="dxa"/>
            <w:shd w:val="clear" w:color="auto" w:fill="auto"/>
            <w:vAlign w:val="top"/>
          </w:tcPr>
          <w:p w14:paraId="649012F4">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5</w:t>
            </w:r>
          </w:p>
        </w:tc>
        <w:tc>
          <w:tcPr>
            <w:tcW w:w="7333" w:type="dxa"/>
            <w:shd w:val="clear" w:color="auto" w:fill="auto"/>
            <w:vAlign w:val="top"/>
          </w:tcPr>
          <w:p w14:paraId="1A084FE6">
            <w:pP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具有自主知识产权的动物核酸药物递送系统</w:t>
            </w:r>
          </w:p>
        </w:tc>
        <w:tc>
          <w:tcPr>
            <w:tcW w:w="3440" w:type="dxa"/>
            <w:shd w:val="clear" w:color="auto" w:fill="auto"/>
            <w:vAlign w:val="top"/>
          </w:tcPr>
          <w:p w14:paraId="2E504CDD">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生物制造</w:t>
            </w:r>
          </w:p>
        </w:tc>
        <w:tc>
          <w:tcPr>
            <w:tcW w:w="2712" w:type="dxa"/>
            <w:shd w:val="clear" w:color="auto" w:fill="auto"/>
            <w:vAlign w:val="top"/>
          </w:tcPr>
          <w:p w14:paraId="11197951">
            <w:pPr>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20</w:t>
            </w:r>
          </w:p>
        </w:tc>
      </w:tr>
    </w:tbl>
    <w:p w14:paraId="0D48887B">
      <w:pPr>
        <w:rPr>
          <w:rFonts w:ascii="仿宋_GB2312" w:hAnsi="仿宋_GB2312" w:eastAsia="仿宋_GB2312" w:cs="仿宋_GB2312"/>
          <w:sz w:val="32"/>
          <w:szCs w:val="32"/>
        </w:rPr>
      </w:pPr>
    </w:p>
    <w:p w14:paraId="634A4BE5">
      <w:pPr>
        <w:rPr>
          <w:rFonts w:ascii="仿宋_GB2312" w:hAnsi="仿宋_GB2312" w:eastAsia="仿宋_GB2312" w:cs="仿宋_GB2312"/>
          <w:sz w:val="32"/>
          <w:szCs w:val="32"/>
        </w:rPr>
        <w:sectPr>
          <w:footerReference r:id="rId4" w:type="default"/>
          <w:pgSz w:w="16840" w:h="11900" w:orient="landscape"/>
          <w:pgMar w:top="1803" w:right="1440" w:bottom="1803" w:left="1440" w:header="851" w:footer="992" w:gutter="0"/>
          <w:pgNumType w:fmt="decimal" w:start="1"/>
          <w:cols w:space="0" w:num="1"/>
          <w:docGrid w:type="lines" w:linePitch="319" w:charSpace="0"/>
        </w:sectPr>
      </w:pPr>
    </w:p>
    <w:p w14:paraId="072A4E87">
      <w:pPr>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项目</w:t>
      </w:r>
      <w:r>
        <w:rPr>
          <w:rFonts w:hint="eastAsia" w:ascii="仿宋_GB2312" w:hAnsi="仿宋_GB2312" w:eastAsia="仿宋_GB2312" w:cs="仿宋_GB2312"/>
          <w:b/>
          <w:bCs/>
          <w:sz w:val="32"/>
          <w:szCs w:val="32"/>
          <w:lang w:val="en-US" w:eastAsia="zh-CN"/>
        </w:rPr>
        <w:t>一</w:t>
      </w:r>
    </w:p>
    <w:p w14:paraId="42026EFE">
      <w:pPr>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40"/>
          <w:szCs w:val="40"/>
        </w:rPr>
        <w:t>海洋漂浮结构新型螺旋桩锚基础承载特性及施工设备研发</w:t>
      </w:r>
    </w:p>
    <w:tbl>
      <w:tblPr>
        <w:tblStyle w:val="4"/>
        <w:tblW w:w="8419" w:type="dxa"/>
        <w:tblInd w:w="96" w:type="dxa"/>
        <w:tblLayout w:type="autofit"/>
        <w:tblCellMar>
          <w:top w:w="0" w:type="dxa"/>
          <w:left w:w="108" w:type="dxa"/>
          <w:bottom w:w="0" w:type="dxa"/>
          <w:right w:w="108" w:type="dxa"/>
        </w:tblCellMar>
      </w:tblPr>
      <w:tblGrid>
        <w:gridCol w:w="1645"/>
        <w:gridCol w:w="6774"/>
      </w:tblGrid>
      <w:tr w14:paraId="1351F131">
        <w:tblPrEx>
          <w:tblCellMar>
            <w:top w:w="0" w:type="dxa"/>
            <w:left w:w="108" w:type="dxa"/>
            <w:bottom w:w="0" w:type="dxa"/>
            <w:right w:w="108" w:type="dxa"/>
          </w:tblCellMar>
        </w:tblPrEx>
        <w:trPr>
          <w:trHeight w:val="486" w:hRule="atLeast"/>
        </w:trPr>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4E60">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所属领域</w:t>
            </w:r>
          </w:p>
        </w:tc>
        <w:tc>
          <w:tcPr>
            <w:tcW w:w="6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BB9F">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海洋装备</w:t>
            </w:r>
          </w:p>
        </w:tc>
      </w:tr>
      <w:tr w14:paraId="597FCBD6">
        <w:tblPrEx>
          <w:tblCellMar>
            <w:top w:w="0" w:type="dxa"/>
            <w:left w:w="108" w:type="dxa"/>
            <w:bottom w:w="0" w:type="dxa"/>
            <w:right w:w="108" w:type="dxa"/>
          </w:tblCellMar>
        </w:tblPrEx>
        <w:trPr>
          <w:trHeight w:val="1922" w:hRule="atLeast"/>
        </w:trPr>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4F79">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需求类型</w:t>
            </w:r>
          </w:p>
        </w:tc>
        <w:tc>
          <w:tcPr>
            <w:tcW w:w="6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A9D1">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□新产品开发  </w:t>
            </w:r>
          </w:p>
          <w:p w14:paraId="6163EAA0">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□产品升级换代   </w:t>
            </w:r>
          </w:p>
          <w:p w14:paraId="1FE6E8D6">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□生产线技术改造   </w:t>
            </w:r>
          </w:p>
          <w:p w14:paraId="5744EA84">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□制造工艺改进   </w:t>
            </w:r>
          </w:p>
          <w:p w14:paraId="523F8B5B">
            <w:pPr>
              <w:widowControl/>
              <w:jc w:val="left"/>
              <w:textAlignment w:val="center"/>
              <w:rPr>
                <w:rFonts w:hint="default" w:ascii="宋体" w:hAnsi="宋体" w:eastAsia="宋体" w:cs="宋体"/>
                <w:color w:val="000000"/>
                <w:sz w:val="22"/>
                <w:szCs w:val="22"/>
                <w:lang w:val="en-US"/>
              </w:rPr>
            </w:pPr>
            <w:r>
              <w:rPr>
                <w:rFonts w:hint="eastAsia" w:ascii="宋体" w:hAnsi="宋体" w:eastAsia="宋体" w:cs="宋体"/>
                <w:color w:val="000000"/>
                <w:kern w:val="0"/>
                <w:sz w:val="22"/>
                <w:szCs w:val="22"/>
                <w:lang w:eastAsia="zh-CN" w:bidi="ar"/>
              </w:rPr>
              <w:t>□制造装备改进</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其他</w:t>
            </w:r>
            <w:r>
              <w:rPr>
                <w:rFonts w:hint="eastAsia" w:ascii="宋体" w:hAnsi="宋体" w:eastAsia="宋体" w:cs="宋体"/>
                <w:color w:val="000000"/>
                <w:kern w:val="0"/>
                <w:sz w:val="22"/>
                <w:szCs w:val="22"/>
                <w:u w:val="single"/>
                <w:lang w:bidi="ar"/>
              </w:rPr>
              <w:t>（海洋工程建造）</w:t>
            </w:r>
          </w:p>
        </w:tc>
      </w:tr>
      <w:tr w14:paraId="143879D7">
        <w:tblPrEx>
          <w:tblCellMar>
            <w:top w:w="0" w:type="dxa"/>
            <w:left w:w="108" w:type="dxa"/>
            <w:bottom w:w="0" w:type="dxa"/>
            <w:right w:w="108" w:type="dxa"/>
          </w:tblCellMar>
        </w:tblPrEx>
        <w:trPr>
          <w:trHeight w:val="1740" w:hRule="atLeast"/>
        </w:trPr>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66AB">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需求内容</w:t>
            </w:r>
          </w:p>
        </w:tc>
        <w:tc>
          <w:tcPr>
            <w:tcW w:w="6774" w:type="dxa"/>
            <w:tcBorders>
              <w:top w:val="single" w:color="000000" w:sz="4" w:space="0"/>
              <w:left w:val="single" w:color="000000" w:sz="4" w:space="0"/>
              <w:bottom w:val="single" w:color="000000" w:sz="4" w:space="0"/>
              <w:right w:val="single" w:color="000000" w:sz="4" w:space="0"/>
            </w:tcBorders>
            <w:shd w:val="clear" w:color="auto" w:fill="auto"/>
          </w:tcPr>
          <w:p w14:paraId="385B4345">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围绕大型螺旋锚“安装阻力预测—专用装备研发—施工工艺—承载评价—一体化设计”全链条开展攻关，具体需求如下。</w:t>
            </w:r>
          </w:p>
          <w:p w14:paraId="35217FD6">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1.大型螺旋锚安装阻力分析与预测方法研究。</w:t>
            </w:r>
          </w:p>
          <w:p w14:paraId="14BD2A91">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（1）螺旋锚安装阻力计算方法适用性分析。</w:t>
            </w:r>
          </w:p>
          <w:p w14:paraId="3A166F30">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（2）螺旋锚安装过程离心机试验研究。</w:t>
            </w:r>
          </w:p>
          <w:p w14:paraId="4B24A477">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（3）螺旋锚安装过程数值仿真研究。</w:t>
            </w:r>
          </w:p>
          <w:p w14:paraId="575BDB5F">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（4）螺旋锚安装阻力预测模型与工程简化方法。</w:t>
            </w:r>
          </w:p>
          <w:p w14:paraId="2D9D1659">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2.基于现有海上施工装备的螺旋锚新型安装设备研发</w:t>
            </w:r>
          </w:p>
          <w:p w14:paraId="63F1675D">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（1）现有船机装备适配性分析。</w:t>
            </w:r>
          </w:p>
          <w:p w14:paraId="76E094F6">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（2）螺旋锚安装反力计算。</w:t>
            </w:r>
          </w:p>
          <w:p w14:paraId="334F1EEB">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（3）螺旋锚安装装备核心系统研发。</w:t>
            </w:r>
          </w:p>
          <w:p w14:paraId="7BA4B2F0">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（4）基于螺旋桩新型安装设备的停锤标准研究。</w:t>
            </w:r>
          </w:p>
          <w:p w14:paraId="2F370DB3">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3.水下大型螺旋锚适配安装技术及施工工艺研究</w:t>
            </w:r>
          </w:p>
          <w:p w14:paraId="11CEC011">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（1）安装过程动态调控工艺研究。</w:t>
            </w:r>
          </w:p>
          <w:p w14:paraId="13749CD3">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（2）单锚、群锚安装效率优化。</w:t>
            </w:r>
          </w:p>
          <w:p w14:paraId="5924F318">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（3）施工工艺编制。</w:t>
            </w:r>
          </w:p>
          <w:p w14:paraId="15CF1796">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4.大型螺旋锚承载能力及评价方法研究</w:t>
            </w:r>
          </w:p>
          <w:p w14:paraId="628D9C92">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（1）海洋土特性与亚塑性本构模型。</w:t>
            </w:r>
          </w:p>
          <w:p w14:paraId="0D09FE74">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（2）螺旋锚承载特性离心机试验。</w:t>
            </w:r>
          </w:p>
          <w:p w14:paraId="13CFE4E2">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（3）基于数值模拟的承载性能参数化分析与理论模型。</w:t>
            </w:r>
          </w:p>
          <w:p w14:paraId="09842410">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5.螺旋锚基础结构一体化设计软件研发</w:t>
            </w:r>
          </w:p>
          <w:p w14:paraId="508996CC">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（1）螺旋锚关键参数影响规律研究。</w:t>
            </w:r>
          </w:p>
          <w:p w14:paraId="0D255C63">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（2）螺旋锚安装与承载性能智能预测模型开发。</w:t>
            </w:r>
          </w:p>
          <w:p w14:paraId="19A0E58A">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（3）螺旋锚安装-服役一体化设计软件研发。</w:t>
            </w:r>
          </w:p>
          <w:p w14:paraId="3CC1E3B0">
            <w:pPr>
              <w:widowControl/>
              <w:numPr>
                <w:ilvl w:val="0"/>
                <w:numId w:val="0"/>
              </w:numPr>
              <w:jc w:val="both"/>
              <w:textAlignment w:val="top"/>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val="en-US" w:eastAsia="zh-CN" w:bidi="ar"/>
              </w:rPr>
              <w:t>拟实现目标及指标：建立大型螺旋锚安装阻力预测方法；研发与现有海上施工船机适配的专用安装设备1套，安装效率提升超10%；形成大型螺旋锚安装具体方案1套；建立考虑安装过程影响的承载性能评价方法，预测精度≥85%；开发一体化设计软件1套，实现安装参数与服役性能联动计算。</w:t>
            </w:r>
          </w:p>
        </w:tc>
      </w:tr>
      <w:tr w14:paraId="477470A1">
        <w:tblPrEx>
          <w:tblCellMar>
            <w:top w:w="0" w:type="dxa"/>
            <w:left w:w="108" w:type="dxa"/>
            <w:bottom w:w="0" w:type="dxa"/>
            <w:right w:w="108" w:type="dxa"/>
          </w:tblCellMar>
        </w:tblPrEx>
        <w:trPr>
          <w:trHeight w:val="326" w:hRule="atLeast"/>
        </w:trPr>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3DE3">
            <w:pPr>
              <w:jc w:val="center"/>
              <w:rPr>
                <w:rFonts w:ascii="宋体" w:hAnsi="宋体" w:eastAsia="宋体" w:cs="宋体"/>
                <w:color w:val="000000"/>
                <w:sz w:val="22"/>
                <w:szCs w:val="22"/>
              </w:rPr>
            </w:pPr>
            <w:r>
              <w:rPr>
                <w:rFonts w:hint="eastAsia" w:ascii="宋体" w:hAnsi="宋体" w:eastAsia="宋体" w:cs="宋体"/>
                <w:color w:val="000000"/>
                <w:sz w:val="22"/>
                <w:szCs w:val="22"/>
              </w:rPr>
              <w:t>现有基础</w:t>
            </w:r>
          </w:p>
        </w:tc>
        <w:tc>
          <w:tcPr>
            <w:tcW w:w="6774" w:type="dxa"/>
            <w:tcBorders>
              <w:top w:val="single" w:color="000000" w:sz="4" w:space="0"/>
              <w:left w:val="single" w:color="000000" w:sz="4" w:space="0"/>
              <w:bottom w:val="single" w:color="000000" w:sz="4" w:space="0"/>
              <w:right w:val="single" w:color="000000" w:sz="4" w:space="0"/>
            </w:tcBorders>
            <w:shd w:val="clear" w:color="auto" w:fill="auto"/>
          </w:tcPr>
          <w:p w14:paraId="09F64942">
            <w:pPr>
              <w:widowControl/>
              <w:jc w:val="left"/>
              <w:textAlignment w:val="top"/>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无研发基础</w:t>
            </w:r>
          </w:p>
        </w:tc>
      </w:tr>
      <w:tr w14:paraId="38B85ADE">
        <w:tblPrEx>
          <w:tblCellMar>
            <w:top w:w="0" w:type="dxa"/>
            <w:left w:w="108" w:type="dxa"/>
            <w:bottom w:w="0" w:type="dxa"/>
            <w:right w:w="108" w:type="dxa"/>
          </w:tblCellMar>
        </w:tblPrEx>
        <w:trPr>
          <w:trHeight w:val="90" w:hRule="atLeast"/>
        </w:trPr>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AB34">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预期效果</w:t>
            </w:r>
          </w:p>
        </w:tc>
        <w:tc>
          <w:tcPr>
            <w:tcW w:w="6774" w:type="dxa"/>
            <w:tcBorders>
              <w:top w:val="single" w:color="000000" w:sz="4" w:space="0"/>
              <w:left w:val="single" w:color="000000" w:sz="4" w:space="0"/>
              <w:bottom w:val="single" w:color="000000" w:sz="4" w:space="0"/>
              <w:right w:val="single" w:color="000000" w:sz="4" w:space="0"/>
            </w:tcBorders>
            <w:shd w:val="clear" w:color="auto" w:fill="auto"/>
          </w:tcPr>
          <w:p w14:paraId="3F9F5ACA">
            <w:pPr>
              <w:widowControl/>
              <w:textAlignment w:val="top"/>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通过研发专用安装设备和优化施工工艺，显著提高施工效率、降低工程造价和施工风险；依托螺旋桩锚长期承载性能与可回收重复利用特点，降低服役期维护及退役拆除处置成本，形成显著全生命周期经济效益。成果产业化后可带动装备制造、施工服务、技术咨询等产业链发展，创造新的经济增长点，并催生相关技术服务市场。</w:t>
            </w:r>
          </w:p>
        </w:tc>
      </w:tr>
      <w:tr w14:paraId="618D7A29">
        <w:tblPrEx>
          <w:tblCellMar>
            <w:top w:w="0" w:type="dxa"/>
            <w:left w:w="108" w:type="dxa"/>
            <w:bottom w:w="0" w:type="dxa"/>
            <w:right w:w="108" w:type="dxa"/>
          </w:tblCellMar>
        </w:tblPrEx>
        <w:trPr>
          <w:trHeight w:val="640" w:hRule="atLeast"/>
        </w:trPr>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F049">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转化应用规模目标</w:t>
            </w:r>
          </w:p>
        </w:tc>
        <w:tc>
          <w:tcPr>
            <w:tcW w:w="6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1F80">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形成大型螺旋锚专用安装设备1套、施工工艺方案1套、“安装—服役”一体化设计软件1套及研究报告、论文、专利等成果；依托天津市、中交集团或一航局深远海漂浮式风电、海上光伏、海洋牧场、海上人工岛等项目群开展示范应用，并导入后续深水基础项目，实现新型安装设备、工艺手册及设计软件的工程化转化和推广应用。</w:t>
            </w:r>
          </w:p>
        </w:tc>
      </w:tr>
      <w:tr w14:paraId="33768FBE">
        <w:tblPrEx>
          <w:tblCellMar>
            <w:top w:w="0" w:type="dxa"/>
            <w:left w:w="108" w:type="dxa"/>
            <w:bottom w:w="0" w:type="dxa"/>
            <w:right w:w="108" w:type="dxa"/>
          </w:tblCellMar>
        </w:tblPrEx>
        <w:trPr>
          <w:trHeight w:val="540" w:hRule="atLeast"/>
        </w:trPr>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A700">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计划投资金额（万元）</w:t>
            </w:r>
          </w:p>
        </w:tc>
        <w:tc>
          <w:tcPr>
            <w:tcW w:w="6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A52E">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val="en-US" w:eastAsia="zh-CN" w:bidi="ar"/>
              </w:rPr>
              <w:t>200</w:t>
            </w:r>
            <w:r>
              <w:rPr>
                <w:rFonts w:hint="eastAsia" w:ascii="宋体" w:hAnsi="宋体" w:eastAsia="宋体" w:cs="宋体"/>
                <w:color w:val="000000"/>
                <w:kern w:val="0"/>
                <w:sz w:val="22"/>
                <w:szCs w:val="22"/>
                <w:lang w:bidi="ar"/>
              </w:rPr>
              <w:t>万元</w:t>
            </w:r>
          </w:p>
        </w:tc>
      </w:tr>
      <w:tr w14:paraId="0ABB2809">
        <w:tblPrEx>
          <w:tblCellMar>
            <w:top w:w="0" w:type="dxa"/>
            <w:left w:w="108" w:type="dxa"/>
            <w:bottom w:w="0" w:type="dxa"/>
            <w:right w:w="108" w:type="dxa"/>
          </w:tblCellMar>
        </w:tblPrEx>
        <w:trPr>
          <w:trHeight w:val="536" w:hRule="atLeast"/>
        </w:trPr>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AF12">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合作方式</w:t>
            </w:r>
          </w:p>
        </w:tc>
        <w:tc>
          <w:tcPr>
            <w:tcW w:w="6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CB5D8">
            <w:pPr>
              <w:widowControl/>
              <w:jc w:val="both"/>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bidi="ar"/>
              </w:rPr>
              <w:t>□技术转让</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sym w:font="Wingdings 2" w:char="00A3"/>
            </w:r>
            <w:r>
              <w:rPr>
                <w:rFonts w:hint="eastAsia" w:ascii="宋体" w:hAnsi="宋体" w:eastAsia="宋体" w:cs="宋体"/>
                <w:color w:val="000000"/>
                <w:kern w:val="0"/>
                <w:sz w:val="22"/>
                <w:szCs w:val="22"/>
                <w:lang w:bidi="ar"/>
              </w:rPr>
              <w:t>技术许可</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□作价入股</w:t>
            </w:r>
            <w:r>
              <w:rPr>
                <w:rFonts w:hint="eastAsia" w:ascii="宋体" w:hAnsi="宋体" w:eastAsia="宋体" w:cs="宋体"/>
                <w:color w:val="000000"/>
                <w:kern w:val="0"/>
                <w:sz w:val="22"/>
                <w:szCs w:val="22"/>
                <w:lang w:val="en-US" w:eastAsia="zh-CN" w:bidi="ar"/>
              </w:rPr>
              <w:t xml:space="preserve">  </w:t>
            </w:r>
          </w:p>
          <w:p w14:paraId="08BD665F">
            <w:pPr>
              <w:widowControl/>
              <w:jc w:val="both"/>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sym w:font="Wingdings 2" w:char="0052"/>
            </w:r>
            <w:r>
              <w:rPr>
                <w:rFonts w:hint="eastAsia" w:ascii="宋体" w:hAnsi="宋体" w:eastAsia="宋体" w:cs="宋体"/>
                <w:color w:val="000000"/>
                <w:kern w:val="0"/>
                <w:sz w:val="22"/>
                <w:szCs w:val="22"/>
                <w:lang w:bidi="ar"/>
              </w:rPr>
              <w:t>技术开发</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□技术咨询</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□技术服务</w:t>
            </w:r>
          </w:p>
        </w:tc>
      </w:tr>
    </w:tbl>
    <w:p w14:paraId="5ED7F656">
      <w:pPr>
        <w:jc w:val="left"/>
        <w:rPr>
          <w:rFonts w:hint="eastAsia" w:ascii="仿宋_GB2312" w:hAnsi="仿宋_GB2312" w:eastAsia="仿宋_GB2312" w:cs="仿宋_GB2312"/>
          <w:b/>
          <w:bCs/>
          <w:sz w:val="32"/>
          <w:szCs w:val="32"/>
          <w:lang w:val="en-US" w:eastAsia="zh-CN"/>
        </w:rPr>
      </w:pPr>
    </w:p>
    <w:p w14:paraId="0F9E792E">
      <w:pPr>
        <w:jc w:val="left"/>
        <w:rPr>
          <w:rFonts w:hint="eastAsia" w:ascii="仿宋_GB2312" w:hAnsi="仿宋_GB2312" w:eastAsia="仿宋_GB2312" w:cs="仿宋_GB2312"/>
          <w:b/>
          <w:bCs/>
          <w:sz w:val="32"/>
          <w:szCs w:val="32"/>
          <w:lang w:val="en-US" w:eastAsia="zh-CN"/>
        </w:rPr>
      </w:pPr>
    </w:p>
    <w:p w14:paraId="452432A1">
      <w:pPr>
        <w:jc w:val="left"/>
        <w:rPr>
          <w:rFonts w:hint="eastAsia" w:ascii="仿宋_GB2312" w:hAnsi="仿宋_GB2312" w:eastAsia="仿宋_GB2312" w:cs="仿宋_GB2312"/>
          <w:b/>
          <w:bCs/>
          <w:sz w:val="32"/>
          <w:szCs w:val="32"/>
          <w:lang w:val="en-US" w:eastAsia="zh-CN"/>
        </w:rPr>
      </w:pPr>
    </w:p>
    <w:p w14:paraId="0F46E18A">
      <w:pPr>
        <w:jc w:val="left"/>
        <w:rPr>
          <w:rFonts w:hint="eastAsia" w:ascii="仿宋_GB2312" w:hAnsi="仿宋_GB2312" w:eastAsia="仿宋_GB2312" w:cs="仿宋_GB2312"/>
          <w:b/>
          <w:bCs/>
          <w:sz w:val="32"/>
          <w:szCs w:val="32"/>
          <w:lang w:val="en-US" w:eastAsia="zh-CN"/>
        </w:rPr>
      </w:pPr>
    </w:p>
    <w:p w14:paraId="49773735">
      <w:pPr>
        <w:jc w:val="left"/>
        <w:rPr>
          <w:rFonts w:hint="eastAsia" w:ascii="仿宋_GB2312" w:hAnsi="仿宋_GB2312" w:eastAsia="仿宋_GB2312" w:cs="仿宋_GB2312"/>
          <w:b/>
          <w:bCs/>
          <w:sz w:val="32"/>
          <w:szCs w:val="32"/>
          <w:lang w:val="en-US" w:eastAsia="zh-CN"/>
        </w:rPr>
      </w:pPr>
    </w:p>
    <w:p w14:paraId="2D8D9938">
      <w:pPr>
        <w:jc w:val="left"/>
        <w:rPr>
          <w:rFonts w:hint="eastAsia" w:ascii="仿宋_GB2312" w:hAnsi="仿宋_GB2312" w:eastAsia="仿宋_GB2312" w:cs="仿宋_GB2312"/>
          <w:b/>
          <w:bCs/>
          <w:sz w:val="32"/>
          <w:szCs w:val="32"/>
          <w:lang w:val="en-US" w:eastAsia="zh-CN"/>
        </w:rPr>
      </w:pPr>
    </w:p>
    <w:p w14:paraId="67C59BB2">
      <w:pPr>
        <w:jc w:val="left"/>
        <w:rPr>
          <w:rFonts w:hint="eastAsia" w:ascii="仿宋_GB2312" w:hAnsi="仿宋_GB2312" w:eastAsia="仿宋_GB2312" w:cs="仿宋_GB2312"/>
          <w:b/>
          <w:bCs/>
          <w:sz w:val="32"/>
          <w:szCs w:val="32"/>
          <w:lang w:val="en-US" w:eastAsia="zh-CN"/>
        </w:rPr>
      </w:pPr>
    </w:p>
    <w:p w14:paraId="38071303">
      <w:pPr>
        <w:jc w:val="left"/>
        <w:rPr>
          <w:rFonts w:hint="eastAsia" w:ascii="仿宋_GB2312" w:hAnsi="仿宋_GB2312" w:eastAsia="仿宋_GB2312" w:cs="仿宋_GB2312"/>
          <w:b/>
          <w:bCs/>
          <w:sz w:val="32"/>
          <w:szCs w:val="32"/>
          <w:lang w:val="en-US" w:eastAsia="zh-CN"/>
        </w:rPr>
      </w:pPr>
    </w:p>
    <w:p w14:paraId="00CCADD7">
      <w:pPr>
        <w:jc w:val="left"/>
        <w:rPr>
          <w:rFonts w:hint="eastAsia" w:ascii="仿宋_GB2312" w:hAnsi="仿宋_GB2312" w:eastAsia="仿宋_GB2312" w:cs="仿宋_GB2312"/>
          <w:b/>
          <w:bCs/>
          <w:sz w:val="32"/>
          <w:szCs w:val="32"/>
          <w:lang w:val="en-US" w:eastAsia="zh-CN"/>
        </w:rPr>
      </w:pPr>
    </w:p>
    <w:p w14:paraId="5EA58818">
      <w:pPr>
        <w:jc w:val="left"/>
        <w:rPr>
          <w:rFonts w:hint="eastAsia" w:ascii="仿宋_GB2312" w:hAnsi="仿宋_GB2312" w:eastAsia="仿宋_GB2312" w:cs="仿宋_GB2312"/>
          <w:b/>
          <w:bCs/>
          <w:sz w:val="32"/>
          <w:szCs w:val="32"/>
          <w:lang w:val="en-US" w:eastAsia="zh-CN"/>
        </w:rPr>
      </w:pPr>
    </w:p>
    <w:p w14:paraId="718AED97">
      <w:pPr>
        <w:jc w:val="left"/>
        <w:rPr>
          <w:rFonts w:hint="eastAsia" w:ascii="仿宋_GB2312" w:hAnsi="仿宋_GB2312" w:eastAsia="仿宋_GB2312" w:cs="仿宋_GB2312"/>
          <w:b/>
          <w:bCs/>
          <w:sz w:val="32"/>
          <w:szCs w:val="32"/>
          <w:lang w:val="en-US" w:eastAsia="zh-CN"/>
        </w:rPr>
      </w:pPr>
    </w:p>
    <w:p w14:paraId="5CE8862E">
      <w:pPr>
        <w:jc w:val="left"/>
        <w:rPr>
          <w:rFonts w:hint="eastAsia" w:ascii="仿宋_GB2312" w:hAnsi="仿宋_GB2312" w:eastAsia="仿宋_GB2312" w:cs="仿宋_GB2312"/>
          <w:b/>
          <w:bCs/>
          <w:sz w:val="32"/>
          <w:szCs w:val="32"/>
          <w:lang w:val="en-US" w:eastAsia="zh-CN"/>
        </w:rPr>
      </w:pPr>
    </w:p>
    <w:p w14:paraId="7A1E4985">
      <w:pPr>
        <w:jc w:val="left"/>
        <w:rPr>
          <w:rFonts w:hint="eastAsia" w:ascii="仿宋_GB2312" w:hAnsi="仿宋_GB2312" w:eastAsia="仿宋_GB2312" w:cs="仿宋_GB2312"/>
          <w:b/>
          <w:bCs/>
          <w:sz w:val="32"/>
          <w:szCs w:val="32"/>
          <w:lang w:val="en-US" w:eastAsia="zh-CN"/>
        </w:rPr>
      </w:pPr>
    </w:p>
    <w:p w14:paraId="6CA94093">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项目</w:t>
      </w:r>
      <w:r>
        <w:rPr>
          <w:rFonts w:hint="eastAsia" w:ascii="仿宋_GB2312" w:hAnsi="仿宋_GB2312" w:eastAsia="仿宋_GB2312" w:cs="仿宋_GB2312"/>
          <w:b/>
          <w:bCs/>
          <w:sz w:val="32"/>
          <w:szCs w:val="32"/>
          <w:lang w:val="en-US" w:eastAsia="zh-CN"/>
        </w:rPr>
        <w:t>二</w:t>
      </w:r>
    </w:p>
    <w:p w14:paraId="7881B553">
      <w:pPr>
        <w:jc w:val="center"/>
        <w:rPr>
          <w:rFonts w:ascii="仿宋_GB2312" w:hAnsi="仿宋_GB2312" w:eastAsia="仿宋_GB2312" w:cs="仿宋_GB2312"/>
          <w:b/>
          <w:bCs/>
          <w:sz w:val="40"/>
          <w:szCs w:val="40"/>
        </w:rPr>
      </w:pPr>
      <w:r>
        <w:rPr>
          <w:rFonts w:hint="eastAsia" w:ascii="仿宋_GB2312" w:hAnsi="仿宋_GB2312" w:eastAsia="仿宋_GB2312" w:cs="仿宋_GB2312"/>
          <w:b/>
          <w:bCs/>
          <w:sz w:val="40"/>
          <w:szCs w:val="40"/>
        </w:rPr>
        <w:t>一步法发酵泰万菌素</w:t>
      </w:r>
    </w:p>
    <w:tbl>
      <w:tblPr>
        <w:tblStyle w:val="4"/>
        <w:tblW w:w="8417" w:type="dxa"/>
        <w:tblInd w:w="98" w:type="dxa"/>
        <w:tblLayout w:type="autofit"/>
        <w:tblCellMar>
          <w:top w:w="0" w:type="dxa"/>
          <w:left w:w="108" w:type="dxa"/>
          <w:bottom w:w="0" w:type="dxa"/>
          <w:right w:w="108" w:type="dxa"/>
        </w:tblCellMar>
      </w:tblPr>
      <w:tblGrid>
        <w:gridCol w:w="1718"/>
        <w:gridCol w:w="6699"/>
      </w:tblGrid>
      <w:tr w14:paraId="54075F7E">
        <w:tblPrEx>
          <w:tblCellMar>
            <w:top w:w="0" w:type="dxa"/>
            <w:left w:w="108" w:type="dxa"/>
            <w:bottom w:w="0" w:type="dxa"/>
            <w:right w:w="108" w:type="dxa"/>
          </w:tblCellMar>
        </w:tblPrEx>
        <w:trPr>
          <w:trHeight w:val="90" w:hRule="atLeast"/>
        </w:trPr>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4C63">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所属领域</w:t>
            </w:r>
          </w:p>
        </w:tc>
        <w:tc>
          <w:tcPr>
            <w:tcW w:w="6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62A9">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val="en-US" w:eastAsia="zh-CN" w:bidi="ar"/>
              </w:rPr>
              <w:t>生物制造</w:t>
            </w:r>
          </w:p>
        </w:tc>
      </w:tr>
      <w:tr w14:paraId="3517813E">
        <w:tblPrEx>
          <w:tblCellMar>
            <w:top w:w="0" w:type="dxa"/>
            <w:left w:w="108" w:type="dxa"/>
            <w:bottom w:w="0" w:type="dxa"/>
            <w:right w:w="108" w:type="dxa"/>
          </w:tblCellMar>
        </w:tblPrEx>
        <w:trPr>
          <w:trHeight w:val="1998" w:hRule="atLeast"/>
        </w:trPr>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0E95">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需求类型</w:t>
            </w:r>
          </w:p>
        </w:tc>
        <w:tc>
          <w:tcPr>
            <w:tcW w:w="6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4D66">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□新产品开发  </w:t>
            </w:r>
          </w:p>
          <w:p w14:paraId="3AB186B9">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☑产品升级换代   </w:t>
            </w:r>
          </w:p>
          <w:p w14:paraId="45005373">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□生产线技术改造   </w:t>
            </w:r>
          </w:p>
          <w:p w14:paraId="2AC0AC05">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□制造工艺改进   </w:t>
            </w:r>
          </w:p>
          <w:p w14:paraId="39C2978E">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eastAsia="zh-CN" w:bidi="ar"/>
              </w:rPr>
              <w:t>□制造装备改进</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□其他</w:t>
            </w:r>
          </w:p>
        </w:tc>
      </w:tr>
      <w:tr w14:paraId="622B0829">
        <w:tblPrEx>
          <w:tblCellMar>
            <w:top w:w="0" w:type="dxa"/>
            <w:left w:w="108" w:type="dxa"/>
            <w:bottom w:w="0" w:type="dxa"/>
            <w:right w:w="108" w:type="dxa"/>
          </w:tblCellMar>
        </w:tblPrEx>
        <w:trPr>
          <w:trHeight w:val="1092" w:hRule="atLeast"/>
        </w:trPr>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94DC">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需求内容</w:t>
            </w:r>
          </w:p>
        </w:tc>
        <w:tc>
          <w:tcPr>
            <w:tcW w:w="6699" w:type="dxa"/>
            <w:tcBorders>
              <w:top w:val="single" w:color="000000" w:sz="4" w:space="0"/>
              <w:left w:val="single" w:color="000000" w:sz="4" w:space="0"/>
              <w:bottom w:val="single" w:color="000000" w:sz="4" w:space="0"/>
              <w:right w:val="single" w:color="000000" w:sz="4" w:space="0"/>
            </w:tcBorders>
            <w:shd w:val="clear" w:color="auto" w:fill="auto"/>
          </w:tcPr>
          <w:p w14:paraId="30989F0E">
            <w:pPr>
              <w:widowControl/>
              <w:jc w:val="left"/>
              <w:textAlignment w:val="top"/>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本项目需攻关弗氏链霉菌一步发酵生产泰万菌素关键技术：筛选 acyA/acyB 及其同源酶，完成酶分子改造，抑制非目标酰化副产物生成，要求非目标酰化基团杂质含量＜5%，底物转化率＞95%；将改造后的最优酶系导入弗氏链霉菌菌株，构建一步发酵工程菌，实现泰万菌素直接合成，初步达到产物占比 90%、发酵产量 10 g/L；</w:t>
            </w:r>
          </w:p>
          <w:p w14:paraId="2621178B">
            <w:pPr>
              <w:widowControl/>
              <w:jc w:val="left"/>
              <w:textAlignment w:val="top"/>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最终目标为：获得工程菌株实现发酵产物中泰万菌素占比＞95%，发酵产量&gt;18 g/L，建立泰万菌素一步发酵制备工艺。</w:t>
            </w:r>
          </w:p>
        </w:tc>
      </w:tr>
      <w:tr w14:paraId="5AD56C6F">
        <w:tblPrEx>
          <w:tblCellMar>
            <w:top w:w="0" w:type="dxa"/>
            <w:left w:w="108" w:type="dxa"/>
            <w:bottom w:w="0" w:type="dxa"/>
            <w:right w:w="108" w:type="dxa"/>
          </w:tblCellMar>
        </w:tblPrEx>
        <w:trPr>
          <w:trHeight w:val="538" w:hRule="atLeast"/>
        </w:trPr>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9363">
            <w:pPr>
              <w:jc w:val="center"/>
              <w:rPr>
                <w:rFonts w:ascii="宋体" w:hAnsi="宋体" w:eastAsia="宋体" w:cs="宋体"/>
                <w:color w:val="000000"/>
                <w:sz w:val="22"/>
                <w:szCs w:val="22"/>
              </w:rPr>
            </w:pPr>
            <w:r>
              <w:rPr>
                <w:rFonts w:hint="eastAsia" w:ascii="宋体" w:hAnsi="宋体" w:eastAsia="宋体" w:cs="宋体"/>
                <w:color w:val="000000"/>
                <w:sz w:val="22"/>
                <w:szCs w:val="22"/>
              </w:rPr>
              <w:t>现有基础</w:t>
            </w:r>
          </w:p>
        </w:tc>
        <w:tc>
          <w:tcPr>
            <w:tcW w:w="6699" w:type="dxa"/>
            <w:tcBorders>
              <w:top w:val="single" w:color="000000" w:sz="4" w:space="0"/>
              <w:left w:val="single" w:color="000000" w:sz="4" w:space="0"/>
              <w:bottom w:val="single" w:color="000000" w:sz="4" w:space="0"/>
              <w:right w:val="single" w:color="000000" w:sz="4" w:space="0"/>
            </w:tcBorders>
            <w:shd w:val="clear" w:color="auto" w:fill="auto"/>
          </w:tcPr>
          <w:p w14:paraId="41171C84">
            <w:pPr>
              <w:widowControl/>
              <w:jc w:val="left"/>
              <w:textAlignment w:val="top"/>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内部已有一定研发基础</w:t>
            </w:r>
          </w:p>
        </w:tc>
      </w:tr>
      <w:tr w14:paraId="0F41ABFA">
        <w:tblPrEx>
          <w:tblCellMar>
            <w:top w:w="0" w:type="dxa"/>
            <w:left w:w="108" w:type="dxa"/>
            <w:bottom w:w="0" w:type="dxa"/>
            <w:right w:w="108" w:type="dxa"/>
          </w:tblCellMar>
        </w:tblPrEx>
        <w:trPr>
          <w:trHeight w:val="466" w:hRule="atLeast"/>
        </w:trPr>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3AD4">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预期效果</w:t>
            </w:r>
          </w:p>
        </w:tc>
        <w:tc>
          <w:tcPr>
            <w:tcW w:w="6699" w:type="dxa"/>
            <w:tcBorders>
              <w:top w:val="single" w:color="000000" w:sz="4" w:space="0"/>
              <w:left w:val="single" w:color="000000" w:sz="4" w:space="0"/>
              <w:bottom w:val="single" w:color="000000" w:sz="4" w:space="0"/>
              <w:right w:val="single" w:color="000000" w:sz="4" w:space="0"/>
            </w:tcBorders>
            <w:shd w:val="clear" w:color="auto" w:fill="auto"/>
          </w:tcPr>
          <w:p w14:paraId="0415E8D3">
            <w:pPr>
              <w:widowControl/>
              <w:textAlignment w:val="top"/>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打通一步法发酵泰万菌素技术，实现中试和百吨罐放大，年产500吨原料药产生直接效益约1.5-2.5亿元（不包含制剂产品效益）</w:t>
            </w:r>
          </w:p>
        </w:tc>
      </w:tr>
      <w:tr w14:paraId="153ABBF8">
        <w:tblPrEx>
          <w:tblCellMar>
            <w:top w:w="0" w:type="dxa"/>
            <w:left w:w="108" w:type="dxa"/>
            <w:bottom w:w="0" w:type="dxa"/>
            <w:right w:w="108" w:type="dxa"/>
          </w:tblCellMar>
        </w:tblPrEx>
        <w:trPr>
          <w:trHeight w:val="909" w:hRule="atLeast"/>
        </w:trPr>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AFBD">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转化应用规模目标</w:t>
            </w:r>
          </w:p>
        </w:tc>
        <w:tc>
          <w:tcPr>
            <w:tcW w:w="6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63A1">
            <w:pPr>
              <w:widowControl/>
              <w:tabs>
                <w:tab w:val="left" w:pos="1821"/>
              </w:tabs>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完成小试和中试，最终在多个165吨罐中进行生产，年产目标500吨</w:t>
            </w:r>
          </w:p>
        </w:tc>
      </w:tr>
      <w:tr w14:paraId="0E125ED6">
        <w:tblPrEx>
          <w:tblCellMar>
            <w:top w:w="0" w:type="dxa"/>
            <w:left w:w="108" w:type="dxa"/>
            <w:bottom w:w="0" w:type="dxa"/>
            <w:right w:w="108" w:type="dxa"/>
          </w:tblCellMar>
        </w:tblPrEx>
        <w:trPr>
          <w:trHeight w:val="909" w:hRule="atLeast"/>
        </w:trPr>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18E1">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计划投资金额（万元）</w:t>
            </w:r>
          </w:p>
        </w:tc>
        <w:tc>
          <w:tcPr>
            <w:tcW w:w="6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19BD">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val="en-US" w:eastAsia="zh-CN" w:bidi="ar"/>
              </w:rPr>
              <w:t>100-300</w:t>
            </w:r>
            <w:r>
              <w:rPr>
                <w:rFonts w:hint="eastAsia" w:ascii="宋体" w:hAnsi="宋体" w:eastAsia="宋体" w:cs="宋体"/>
                <w:color w:val="000000"/>
                <w:kern w:val="0"/>
                <w:sz w:val="22"/>
                <w:szCs w:val="22"/>
                <w:lang w:bidi="ar"/>
              </w:rPr>
              <w:t>万</w:t>
            </w:r>
          </w:p>
        </w:tc>
      </w:tr>
      <w:tr w14:paraId="199EA5EF">
        <w:tblPrEx>
          <w:tblCellMar>
            <w:top w:w="0" w:type="dxa"/>
            <w:left w:w="108" w:type="dxa"/>
            <w:bottom w:w="0" w:type="dxa"/>
            <w:right w:w="108" w:type="dxa"/>
          </w:tblCellMar>
        </w:tblPrEx>
        <w:trPr>
          <w:trHeight w:val="1260" w:hRule="atLeast"/>
        </w:trPr>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04BA">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合作方式</w:t>
            </w:r>
          </w:p>
        </w:tc>
        <w:tc>
          <w:tcPr>
            <w:tcW w:w="6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E59F">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□技术转让</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□技术许可</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□作价入股</w:t>
            </w:r>
            <w:r>
              <w:rPr>
                <w:rFonts w:ascii="Wingdings 2" w:hAnsi="Wingdings 2" w:eastAsia="Wingdings 2" w:cs="Wingdings 2"/>
                <w:color w:val="000000"/>
                <w:kern w:val="0"/>
                <w:sz w:val="22"/>
                <w:szCs w:val="22"/>
                <w:lang w:bidi="ar"/>
              </w:rPr>
              <w:br w:type="textWrapping"/>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技术开发</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□技术咨询</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□技术服务</w:t>
            </w:r>
          </w:p>
        </w:tc>
      </w:tr>
    </w:tbl>
    <w:p w14:paraId="2FCB402A"/>
    <w:p w14:paraId="44876063">
      <w:pPr>
        <w:rPr>
          <w:rFonts w:hint="eastAsia" w:ascii="仿宋_GB2312" w:hAnsi="仿宋_GB2312" w:eastAsia="仿宋_GB2312" w:cs="仿宋_GB2312"/>
          <w:b/>
          <w:bCs/>
          <w:sz w:val="32"/>
          <w:szCs w:val="32"/>
        </w:rPr>
      </w:pPr>
    </w:p>
    <w:p w14:paraId="0C267BE4">
      <w:pPr>
        <w:rPr>
          <w:rFonts w:hint="eastAsia" w:ascii="仿宋_GB2312" w:hAnsi="仿宋_GB2312" w:eastAsia="仿宋_GB2312" w:cs="仿宋_GB2312"/>
          <w:b/>
          <w:bCs/>
          <w:sz w:val="32"/>
          <w:szCs w:val="32"/>
        </w:rPr>
      </w:pPr>
    </w:p>
    <w:p w14:paraId="0B82015F">
      <w:pPr>
        <w:rPr>
          <w:rFonts w:hint="eastAsia" w:ascii="仿宋_GB2312" w:hAnsi="仿宋_GB2312" w:eastAsia="仿宋_GB2312" w:cs="仿宋_GB2312"/>
          <w:b/>
          <w:bCs/>
          <w:sz w:val="32"/>
          <w:szCs w:val="32"/>
        </w:rPr>
      </w:pPr>
    </w:p>
    <w:p w14:paraId="6710583B">
      <w:pPr>
        <w:rPr>
          <w:rFonts w:hint="eastAsia" w:ascii="仿宋_GB2312" w:hAnsi="仿宋_GB2312" w:eastAsia="仿宋_GB2312" w:cs="仿宋_GB2312"/>
          <w:b/>
          <w:bCs/>
          <w:sz w:val="32"/>
          <w:szCs w:val="32"/>
        </w:rPr>
      </w:pPr>
    </w:p>
    <w:p w14:paraId="3886300E">
      <w:pPr>
        <w:rPr>
          <w:rFonts w:hint="eastAsia" w:ascii="仿宋_GB2312" w:hAnsi="仿宋_GB2312" w:eastAsia="仿宋_GB2312" w:cs="仿宋_GB2312"/>
          <w:b/>
          <w:bCs/>
          <w:sz w:val="32"/>
          <w:szCs w:val="32"/>
        </w:rPr>
      </w:pPr>
    </w:p>
    <w:p w14:paraId="05048BB1">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项目</w:t>
      </w:r>
      <w:r>
        <w:rPr>
          <w:rFonts w:hint="eastAsia" w:ascii="仿宋_GB2312" w:hAnsi="仿宋_GB2312" w:eastAsia="仿宋_GB2312" w:cs="仿宋_GB2312"/>
          <w:b/>
          <w:bCs/>
          <w:sz w:val="32"/>
          <w:szCs w:val="32"/>
          <w:lang w:val="en-US" w:eastAsia="zh-CN"/>
        </w:rPr>
        <w:t>三</w:t>
      </w:r>
    </w:p>
    <w:p w14:paraId="78FD3B18">
      <w:pPr>
        <w:jc w:val="center"/>
        <w:rPr>
          <w:rFonts w:ascii="仿宋_GB2312" w:hAnsi="仿宋_GB2312" w:eastAsia="仿宋_GB2312" w:cs="仿宋_GB2312"/>
          <w:b/>
          <w:bCs/>
          <w:sz w:val="40"/>
          <w:szCs w:val="40"/>
        </w:rPr>
      </w:pPr>
      <w:r>
        <w:rPr>
          <w:rFonts w:hint="eastAsia" w:ascii="仿宋_GB2312" w:hAnsi="仿宋_GB2312" w:eastAsia="仿宋_GB2312" w:cs="仿宋_GB2312"/>
          <w:b/>
          <w:bCs/>
          <w:sz w:val="40"/>
          <w:szCs w:val="40"/>
        </w:rPr>
        <w:t>抗菌肽低成本分离纯化技术</w:t>
      </w:r>
    </w:p>
    <w:tbl>
      <w:tblPr>
        <w:tblStyle w:val="4"/>
        <w:tblW w:w="8707" w:type="dxa"/>
        <w:tblInd w:w="-72" w:type="dxa"/>
        <w:tblLayout w:type="autofit"/>
        <w:tblCellMar>
          <w:top w:w="0" w:type="dxa"/>
          <w:left w:w="108" w:type="dxa"/>
          <w:bottom w:w="0" w:type="dxa"/>
          <w:right w:w="108" w:type="dxa"/>
        </w:tblCellMar>
      </w:tblPr>
      <w:tblGrid>
        <w:gridCol w:w="1507"/>
        <w:gridCol w:w="7200"/>
      </w:tblGrid>
      <w:tr w14:paraId="0C7DF94A">
        <w:tblPrEx>
          <w:tblCellMar>
            <w:top w:w="0" w:type="dxa"/>
            <w:left w:w="108" w:type="dxa"/>
            <w:bottom w:w="0" w:type="dxa"/>
            <w:right w:w="108" w:type="dxa"/>
          </w:tblCellMar>
        </w:tblPrEx>
        <w:trPr>
          <w:trHeight w:val="486"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AE39">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所属领域</w:t>
            </w:r>
          </w:p>
        </w:tc>
        <w:tc>
          <w:tcPr>
            <w:tcW w:w="7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C196">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生物制造</w:t>
            </w:r>
          </w:p>
        </w:tc>
      </w:tr>
      <w:tr w14:paraId="1D28606F">
        <w:tblPrEx>
          <w:tblCellMar>
            <w:top w:w="0" w:type="dxa"/>
            <w:left w:w="108" w:type="dxa"/>
            <w:bottom w:w="0" w:type="dxa"/>
            <w:right w:w="108" w:type="dxa"/>
          </w:tblCellMar>
        </w:tblPrEx>
        <w:trPr>
          <w:trHeight w:val="1922"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6910">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需求类型</w:t>
            </w:r>
          </w:p>
        </w:tc>
        <w:tc>
          <w:tcPr>
            <w:tcW w:w="7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0A10">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□新产品开发  </w:t>
            </w:r>
          </w:p>
          <w:p w14:paraId="685D440B">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☑产品升级换代   </w:t>
            </w:r>
          </w:p>
          <w:p w14:paraId="6B79F4C4">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□生产线技术改造   </w:t>
            </w:r>
          </w:p>
          <w:p w14:paraId="310DC83A">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□制造工艺改进   </w:t>
            </w:r>
          </w:p>
          <w:p w14:paraId="37CC9184">
            <w:pPr>
              <w:widowControl/>
              <w:jc w:val="left"/>
              <w:textAlignment w:val="center"/>
              <w:rPr>
                <w:rFonts w:hint="default" w:ascii="宋体" w:hAnsi="宋体" w:eastAsia="宋体" w:cs="宋体"/>
                <w:color w:val="000000"/>
                <w:sz w:val="22"/>
                <w:szCs w:val="22"/>
                <w:lang w:val="en-US"/>
              </w:rPr>
            </w:pPr>
            <w:r>
              <w:rPr>
                <w:rFonts w:hint="eastAsia" w:ascii="宋体" w:hAnsi="宋体" w:eastAsia="宋体" w:cs="宋体"/>
                <w:color w:val="000000"/>
                <w:kern w:val="0"/>
                <w:sz w:val="22"/>
                <w:szCs w:val="22"/>
                <w:lang w:eastAsia="zh-CN" w:bidi="ar"/>
              </w:rPr>
              <w:t>□制造装备改进</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□其他</w:t>
            </w:r>
          </w:p>
        </w:tc>
      </w:tr>
      <w:tr w14:paraId="1D98CEB2">
        <w:tblPrEx>
          <w:tblCellMar>
            <w:top w:w="0" w:type="dxa"/>
            <w:left w:w="108" w:type="dxa"/>
            <w:bottom w:w="0" w:type="dxa"/>
            <w:right w:w="108" w:type="dxa"/>
          </w:tblCellMar>
        </w:tblPrEx>
        <w:trPr>
          <w:trHeight w:val="174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920A">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需求内容</w:t>
            </w:r>
          </w:p>
        </w:tc>
        <w:tc>
          <w:tcPr>
            <w:tcW w:w="7200" w:type="dxa"/>
            <w:tcBorders>
              <w:top w:val="single" w:color="000000" w:sz="4" w:space="0"/>
              <w:left w:val="single" w:color="000000" w:sz="4" w:space="0"/>
              <w:bottom w:val="single" w:color="000000" w:sz="4" w:space="0"/>
              <w:right w:val="single" w:color="000000" w:sz="4" w:space="0"/>
            </w:tcBorders>
            <w:shd w:val="clear" w:color="auto" w:fill="auto"/>
          </w:tcPr>
          <w:p w14:paraId="08964ADC">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开发适用于畜禽养殖场景的高效抗菌肽工程菌株及配套高密度发酵工艺，成果可直接对接现有工业化发酵体系实现快速转产；产品针对畜禽典型肠道致病菌具备显著抑菌活性，生产经济性满足规模化养殖推广要求。</w:t>
            </w:r>
          </w:p>
          <w:p w14:paraId="714F0F11">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核心技术指标</w:t>
            </w:r>
          </w:p>
          <w:p w14:paraId="777598E0">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1.工程菌株：菌株遗传稳定性优良，生物安全风险可控；抗菌谱覆盖致病性大肠杆菌、沙门氏菌、产气荚膜梭菌等畜禽高发肠道致病菌。</w:t>
            </w:r>
          </w:p>
          <w:p w14:paraId="3AE4B056">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2.发酵工艺：适配吨级工业化发酵罐生产，发酵液抗菌肽效价≥10000U/mL，发酵周期≤48h。</w:t>
            </w:r>
          </w:p>
          <w:p w14:paraId="2DF9EA34">
            <w:pPr>
              <w:widowControl/>
              <w:numPr>
                <w:ilvl w:val="0"/>
                <w:numId w:val="0"/>
              </w:numPr>
              <w:jc w:val="both"/>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3.成本指标：发酵综合生产成本较行业常规水平下降 20% 以上，单位产品成本满足规模化畜禽养殖商业化应用条件。</w:t>
            </w:r>
          </w:p>
          <w:p w14:paraId="75F8386A">
            <w:pPr>
              <w:widowControl/>
              <w:numPr>
                <w:ilvl w:val="0"/>
                <w:numId w:val="0"/>
              </w:numPr>
              <w:jc w:val="both"/>
              <w:textAlignment w:val="top"/>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val="en-US" w:eastAsia="zh-CN" w:bidi="ar"/>
              </w:rPr>
              <w:t>4.应用性能：经动物试验验证，可有效降低畜禽腹泻发生率，改善生长性能，对肠道抗生素具备优良替代效果。</w:t>
            </w:r>
          </w:p>
        </w:tc>
      </w:tr>
      <w:tr w14:paraId="2140CA3F">
        <w:tblPrEx>
          <w:tblCellMar>
            <w:top w:w="0" w:type="dxa"/>
            <w:left w:w="108" w:type="dxa"/>
            <w:bottom w:w="0" w:type="dxa"/>
            <w:right w:w="108" w:type="dxa"/>
          </w:tblCellMar>
        </w:tblPrEx>
        <w:trPr>
          <w:trHeight w:val="326"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0172">
            <w:pPr>
              <w:jc w:val="center"/>
              <w:rPr>
                <w:rFonts w:ascii="宋体" w:hAnsi="宋体" w:eastAsia="宋体" w:cs="宋体"/>
                <w:color w:val="000000"/>
                <w:sz w:val="22"/>
                <w:szCs w:val="22"/>
              </w:rPr>
            </w:pPr>
            <w:r>
              <w:rPr>
                <w:rFonts w:hint="eastAsia" w:ascii="宋体" w:hAnsi="宋体" w:eastAsia="宋体" w:cs="宋体"/>
                <w:color w:val="000000"/>
                <w:sz w:val="22"/>
                <w:szCs w:val="22"/>
              </w:rPr>
              <w:t>现有基础</w:t>
            </w:r>
          </w:p>
        </w:tc>
        <w:tc>
          <w:tcPr>
            <w:tcW w:w="7200" w:type="dxa"/>
            <w:tcBorders>
              <w:top w:val="single" w:color="000000" w:sz="4" w:space="0"/>
              <w:left w:val="single" w:color="000000" w:sz="4" w:space="0"/>
              <w:bottom w:val="single" w:color="000000" w:sz="4" w:space="0"/>
              <w:right w:val="single" w:color="000000" w:sz="4" w:space="0"/>
            </w:tcBorders>
            <w:shd w:val="clear" w:color="auto" w:fill="auto"/>
          </w:tcPr>
          <w:p w14:paraId="41D3CD3D">
            <w:pPr>
              <w:widowControl/>
              <w:jc w:val="left"/>
              <w:textAlignment w:val="top"/>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内部已有一定研发基础</w:t>
            </w:r>
          </w:p>
        </w:tc>
      </w:tr>
      <w:tr w14:paraId="7E1DA8AF">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4DDD">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预期效果</w:t>
            </w:r>
          </w:p>
        </w:tc>
        <w:tc>
          <w:tcPr>
            <w:tcW w:w="7200" w:type="dxa"/>
            <w:tcBorders>
              <w:top w:val="single" w:color="000000" w:sz="4" w:space="0"/>
              <w:left w:val="single" w:color="000000" w:sz="4" w:space="0"/>
              <w:bottom w:val="single" w:color="000000" w:sz="4" w:space="0"/>
              <w:right w:val="single" w:color="000000" w:sz="4" w:space="0"/>
            </w:tcBorders>
            <w:shd w:val="clear" w:color="auto" w:fill="auto"/>
          </w:tcPr>
          <w:p w14:paraId="2B7FAE3D">
            <w:pPr>
              <w:widowControl/>
              <w:textAlignment w:val="top"/>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1.成果转化依托企业现有工业化产线实施，无需新增大额固定资产投入，项目启动投入可控、落地风险低；</w:t>
            </w:r>
          </w:p>
          <w:p w14:paraId="7D8760DE">
            <w:pPr>
              <w:widowControl/>
              <w:textAlignment w:val="top"/>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2.项目达产后，年产抗菌肽原料及制剂规模超100吨，新增年销售收入约500万元，产品毛利率≥40%；</w:t>
            </w:r>
          </w:p>
          <w:p w14:paraId="28B1E0B7">
            <w:pPr>
              <w:widowControl/>
              <w:textAlignment w:val="top"/>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3.依托产品药效与成本双重优势，深度开发规模化集团养殖客户，预计3年内抗菌肽系列产品累计营收突破3000万元，拉动企业生物替抗业务板块整体营收规模持续增长。</w:t>
            </w:r>
          </w:p>
        </w:tc>
      </w:tr>
      <w:tr w14:paraId="4A22E833">
        <w:tblPrEx>
          <w:tblCellMar>
            <w:top w:w="0" w:type="dxa"/>
            <w:left w:w="108" w:type="dxa"/>
            <w:bottom w:w="0" w:type="dxa"/>
            <w:right w:w="108" w:type="dxa"/>
          </w:tblCellMar>
        </w:tblPrEx>
        <w:trPr>
          <w:trHeight w:val="64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5433">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转化应用规模目标</w:t>
            </w:r>
          </w:p>
        </w:tc>
        <w:tc>
          <w:tcPr>
            <w:tcW w:w="7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BB50">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技术攻关完成后，成果可直接适配企业现有吨级工业发酵体系完成产业化转产，联动配套膜浓缩、喷雾干燥成熟产线，实现高活性抗菌肽粉体原料年产≥100 吨，可复配加工畜禽替抗制剂产品≥1000吨；整套生产体系具备柔性扩产能力，能够快速响应市场需求增长，支撑绿色替抗产品规模化、持续性市场供给。</w:t>
            </w:r>
          </w:p>
        </w:tc>
      </w:tr>
      <w:tr w14:paraId="28BBBE85">
        <w:tblPrEx>
          <w:tblCellMar>
            <w:top w:w="0" w:type="dxa"/>
            <w:left w:w="108" w:type="dxa"/>
            <w:bottom w:w="0" w:type="dxa"/>
            <w:right w:w="108" w:type="dxa"/>
          </w:tblCellMar>
        </w:tblPrEx>
        <w:trPr>
          <w:trHeight w:val="54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4A77">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计划投资金额（万元）</w:t>
            </w:r>
          </w:p>
        </w:tc>
        <w:tc>
          <w:tcPr>
            <w:tcW w:w="7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757A">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val="en-US" w:eastAsia="zh-CN" w:bidi="ar"/>
              </w:rPr>
              <w:t>50</w:t>
            </w:r>
            <w:r>
              <w:rPr>
                <w:rFonts w:hint="eastAsia" w:ascii="宋体" w:hAnsi="宋体" w:eastAsia="宋体" w:cs="宋体"/>
                <w:color w:val="000000"/>
                <w:kern w:val="0"/>
                <w:sz w:val="22"/>
                <w:szCs w:val="22"/>
                <w:lang w:bidi="ar"/>
              </w:rPr>
              <w:t>万元</w:t>
            </w:r>
          </w:p>
        </w:tc>
      </w:tr>
      <w:tr w14:paraId="58CA6A7D">
        <w:tblPrEx>
          <w:tblCellMar>
            <w:top w:w="0" w:type="dxa"/>
            <w:left w:w="108" w:type="dxa"/>
            <w:bottom w:w="0" w:type="dxa"/>
            <w:right w:w="108" w:type="dxa"/>
          </w:tblCellMar>
        </w:tblPrEx>
        <w:trPr>
          <w:trHeight w:val="536"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D273">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合作方式</w:t>
            </w:r>
          </w:p>
        </w:tc>
        <w:tc>
          <w:tcPr>
            <w:tcW w:w="7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C14E">
            <w:pPr>
              <w:widowControl/>
              <w:jc w:val="both"/>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bidi="ar"/>
              </w:rPr>
              <w:t>□技术转让</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sym w:font="Wingdings 2" w:char="00A3"/>
            </w:r>
            <w:r>
              <w:rPr>
                <w:rFonts w:hint="eastAsia" w:ascii="宋体" w:hAnsi="宋体" w:eastAsia="宋体" w:cs="宋体"/>
                <w:color w:val="000000"/>
                <w:kern w:val="0"/>
                <w:sz w:val="22"/>
                <w:szCs w:val="22"/>
                <w:lang w:bidi="ar"/>
              </w:rPr>
              <w:t>技术许可</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□作价入股</w:t>
            </w:r>
            <w:r>
              <w:rPr>
                <w:rFonts w:hint="eastAsia" w:ascii="宋体" w:hAnsi="宋体" w:eastAsia="宋体" w:cs="宋体"/>
                <w:color w:val="000000"/>
                <w:kern w:val="0"/>
                <w:sz w:val="22"/>
                <w:szCs w:val="22"/>
                <w:lang w:val="en-US" w:eastAsia="zh-CN" w:bidi="ar"/>
              </w:rPr>
              <w:t xml:space="preserve">  </w:t>
            </w:r>
          </w:p>
          <w:p w14:paraId="0D7999CF">
            <w:pPr>
              <w:widowControl/>
              <w:jc w:val="both"/>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sym w:font="Wingdings 2" w:char="0052"/>
            </w:r>
            <w:r>
              <w:rPr>
                <w:rFonts w:hint="eastAsia" w:ascii="宋体" w:hAnsi="宋体" w:eastAsia="宋体" w:cs="宋体"/>
                <w:color w:val="000000"/>
                <w:kern w:val="0"/>
                <w:sz w:val="22"/>
                <w:szCs w:val="22"/>
                <w:lang w:bidi="ar"/>
              </w:rPr>
              <w:t>技术开发</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□技术咨询</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□技术服务</w:t>
            </w:r>
          </w:p>
        </w:tc>
      </w:tr>
    </w:tbl>
    <w:p w14:paraId="176DAC0F"/>
    <w:p w14:paraId="10B3A48D">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项目</w:t>
      </w:r>
      <w:r>
        <w:rPr>
          <w:rFonts w:hint="eastAsia" w:ascii="仿宋_GB2312" w:hAnsi="仿宋_GB2312" w:eastAsia="仿宋_GB2312" w:cs="仿宋_GB2312"/>
          <w:b/>
          <w:bCs/>
          <w:sz w:val="32"/>
          <w:szCs w:val="32"/>
          <w:lang w:val="en-US" w:eastAsia="zh-CN"/>
        </w:rPr>
        <w:t>四</w:t>
      </w:r>
    </w:p>
    <w:p w14:paraId="321B22E4">
      <w:pPr>
        <w:jc w:val="center"/>
        <w:rPr>
          <w:rFonts w:ascii="仿宋_GB2312" w:hAnsi="仿宋_GB2312" w:eastAsia="仿宋_GB2312" w:cs="仿宋_GB2312"/>
          <w:b/>
          <w:bCs/>
          <w:sz w:val="40"/>
          <w:szCs w:val="40"/>
        </w:rPr>
      </w:pPr>
      <w:r>
        <w:rPr>
          <w:rFonts w:hint="eastAsia" w:ascii="仿宋_GB2312" w:hAnsi="仿宋_GB2312" w:eastAsia="仿宋_GB2312" w:cs="仿宋_GB2312"/>
          <w:b/>
          <w:bCs/>
          <w:sz w:val="40"/>
          <w:szCs w:val="40"/>
        </w:rPr>
        <w:t>动物类器官药物活性评价技术</w:t>
      </w:r>
    </w:p>
    <w:tbl>
      <w:tblPr>
        <w:tblStyle w:val="4"/>
        <w:tblpPr w:leftFromText="180" w:rightFromText="180" w:vertAnchor="text" w:horzAnchor="page" w:tblpX="1604" w:tblpY="68"/>
        <w:tblOverlap w:val="never"/>
        <w:tblW w:w="8861" w:type="dxa"/>
        <w:tblInd w:w="0" w:type="dxa"/>
        <w:tblLayout w:type="fixed"/>
        <w:tblCellMar>
          <w:top w:w="0" w:type="dxa"/>
          <w:left w:w="108" w:type="dxa"/>
          <w:bottom w:w="0" w:type="dxa"/>
          <w:right w:w="108" w:type="dxa"/>
        </w:tblCellMar>
      </w:tblPr>
      <w:tblGrid>
        <w:gridCol w:w="1866"/>
        <w:gridCol w:w="6995"/>
      </w:tblGrid>
      <w:tr w14:paraId="0EF65471">
        <w:tblPrEx>
          <w:tblCellMar>
            <w:top w:w="0" w:type="dxa"/>
            <w:left w:w="108" w:type="dxa"/>
            <w:bottom w:w="0" w:type="dxa"/>
            <w:right w:w="108" w:type="dxa"/>
          </w:tblCellMar>
        </w:tblPrEx>
        <w:trPr>
          <w:trHeight w:val="923" w:hRule="atLeast"/>
        </w:trPr>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A829">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所属领域</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BF66">
            <w:pPr>
              <w:widowControl/>
              <w:ind w:right="1592" w:rightChars="758"/>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val="en-US" w:eastAsia="zh-CN" w:bidi="ar"/>
              </w:rPr>
              <w:t>生物制造</w:t>
            </w:r>
          </w:p>
        </w:tc>
      </w:tr>
      <w:tr w14:paraId="0A23F642">
        <w:tblPrEx>
          <w:tblCellMar>
            <w:top w:w="0" w:type="dxa"/>
            <w:left w:w="108" w:type="dxa"/>
            <w:bottom w:w="0" w:type="dxa"/>
            <w:right w:w="108" w:type="dxa"/>
          </w:tblCellMar>
        </w:tblPrEx>
        <w:trPr>
          <w:trHeight w:val="2240" w:hRule="atLeast"/>
        </w:trPr>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58BC">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需求类型</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0BC4">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□新产品开发  </w:t>
            </w:r>
          </w:p>
          <w:p w14:paraId="30BED0C5">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☑产品升级换代   </w:t>
            </w:r>
          </w:p>
          <w:p w14:paraId="01704B57">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□生产线技术改造   </w:t>
            </w:r>
          </w:p>
          <w:p w14:paraId="02FB26B0">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□制造工艺改进   </w:t>
            </w:r>
          </w:p>
          <w:p w14:paraId="06916783">
            <w:pPr>
              <w:widowControl/>
              <w:ind w:right="-73" w:rightChars="-35"/>
              <w:jc w:val="left"/>
              <w:textAlignment w:val="center"/>
              <w:rPr>
                <w:rFonts w:ascii="Wingdings 2" w:hAnsi="Wingdings 2" w:eastAsia="Wingdings 2" w:cs="Wingdings 2"/>
                <w:color w:val="000000"/>
                <w:sz w:val="22"/>
                <w:szCs w:val="22"/>
              </w:rPr>
            </w:pPr>
            <w:r>
              <w:rPr>
                <w:rFonts w:hint="eastAsia" w:ascii="宋体" w:hAnsi="宋体" w:eastAsia="宋体" w:cs="宋体"/>
                <w:color w:val="000000"/>
                <w:kern w:val="0"/>
                <w:sz w:val="22"/>
                <w:szCs w:val="22"/>
                <w:lang w:eastAsia="zh-CN" w:bidi="ar"/>
              </w:rPr>
              <w:t>□制造装备改进</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□其他</w:t>
            </w:r>
          </w:p>
        </w:tc>
      </w:tr>
      <w:tr w14:paraId="677137AB">
        <w:tblPrEx>
          <w:tblCellMar>
            <w:top w:w="0" w:type="dxa"/>
            <w:left w:w="108" w:type="dxa"/>
            <w:bottom w:w="0" w:type="dxa"/>
            <w:right w:w="108" w:type="dxa"/>
          </w:tblCellMar>
        </w:tblPrEx>
        <w:trPr>
          <w:trHeight w:val="1740" w:hRule="atLeast"/>
        </w:trPr>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AE50">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需求内容</w:t>
            </w:r>
          </w:p>
        </w:tc>
        <w:tc>
          <w:tcPr>
            <w:tcW w:w="6995" w:type="dxa"/>
            <w:tcBorders>
              <w:top w:val="single" w:color="000000" w:sz="4" w:space="0"/>
              <w:left w:val="single" w:color="000000" w:sz="4" w:space="0"/>
              <w:bottom w:val="single" w:color="000000" w:sz="4" w:space="0"/>
              <w:right w:val="single" w:color="000000" w:sz="4" w:space="0"/>
            </w:tcBorders>
            <w:shd w:val="clear" w:color="auto" w:fill="auto"/>
          </w:tcPr>
          <w:p w14:paraId="437EDBE3">
            <w:pPr>
              <w:widowControl/>
              <w:ind w:right="-155" w:rightChars="-74"/>
              <w:jc w:val="left"/>
              <w:textAlignment w:val="top"/>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建立稳定可传代的鸡肠道类器官体外培养体系，可模拟鸡肠道上皮结构与生理功能。</w:t>
            </w:r>
          </w:p>
          <w:p w14:paraId="64880315">
            <w:pPr>
              <w:widowControl/>
              <w:ind w:right="-155" w:rightChars="-74"/>
              <w:jc w:val="left"/>
              <w:textAlignment w:val="top"/>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性能指标：1.类器官培养存活率≥80%，可连续传代≥5代；</w:t>
            </w:r>
          </w:p>
          <w:p w14:paraId="1289FFD7">
            <w:pPr>
              <w:widowControl/>
              <w:ind w:right="-155" w:rightChars="-74"/>
              <w:jc w:val="left"/>
              <w:textAlignment w:val="top"/>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2.可用于肠道屏障、炎症、营养吸收、药物毒性体外检测；</w:t>
            </w:r>
          </w:p>
          <w:p w14:paraId="781A0653">
            <w:pPr>
              <w:widowControl/>
              <w:ind w:right="-155" w:rightChars="-74"/>
              <w:jc w:val="left"/>
              <w:textAlignment w:val="top"/>
              <w:rPr>
                <w:rFonts w:ascii="宋体" w:hAnsi="宋体" w:eastAsia="宋体" w:cs="宋体"/>
                <w:color w:val="000000"/>
                <w:sz w:val="22"/>
                <w:szCs w:val="22"/>
              </w:rPr>
            </w:pPr>
            <w:r>
              <w:rPr>
                <w:rFonts w:hint="eastAsia" w:ascii="宋体" w:hAnsi="宋体" w:eastAsia="宋体" w:cs="宋体"/>
                <w:color w:val="000000"/>
                <w:kern w:val="0"/>
                <w:sz w:val="22"/>
                <w:szCs w:val="22"/>
                <w:lang w:bidi="ar"/>
              </w:rPr>
              <w:t>3.建立标准化操作SOP，可批量制备类器官样本，替代部分鸡活体试验。</w:t>
            </w:r>
          </w:p>
        </w:tc>
      </w:tr>
      <w:tr w14:paraId="7825188A">
        <w:tblPrEx>
          <w:tblCellMar>
            <w:top w:w="0" w:type="dxa"/>
            <w:left w:w="108" w:type="dxa"/>
            <w:bottom w:w="0" w:type="dxa"/>
            <w:right w:w="108" w:type="dxa"/>
          </w:tblCellMar>
        </w:tblPrEx>
        <w:trPr>
          <w:trHeight w:val="679" w:hRule="atLeast"/>
        </w:trPr>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ADC3">
            <w:pPr>
              <w:jc w:val="center"/>
              <w:rPr>
                <w:rFonts w:ascii="宋体" w:hAnsi="宋体" w:eastAsia="宋体" w:cs="宋体"/>
                <w:color w:val="000000"/>
                <w:sz w:val="22"/>
                <w:szCs w:val="22"/>
              </w:rPr>
            </w:pPr>
            <w:r>
              <w:rPr>
                <w:rFonts w:hint="eastAsia" w:ascii="宋体" w:hAnsi="宋体" w:eastAsia="宋体" w:cs="宋体"/>
                <w:color w:val="000000"/>
                <w:sz w:val="22"/>
                <w:szCs w:val="22"/>
              </w:rPr>
              <w:t>现有基础</w:t>
            </w:r>
          </w:p>
        </w:tc>
        <w:tc>
          <w:tcPr>
            <w:tcW w:w="6995" w:type="dxa"/>
            <w:tcBorders>
              <w:top w:val="single" w:color="000000" w:sz="4" w:space="0"/>
              <w:left w:val="single" w:color="000000" w:sz="4" w:space="0"/>
              <w:bottom w:val="single" w:color="000000" w:sz="4" w:space="0"/>
              <w:right w:val="single" w:color="000000" w:sz="4" w:space="0"/>
            </w:tcBorders>
            <w:shd w:val="clear" w:color="auto" w:fill="auto"/>
          </w:tcPr>
          <w:p w14:paraId="486B3578">
            <w:pPr>
              <w:widowControl/>
              <w:ind w:right="-155" w:rightChars="-74"/>
              <w:jc w:val="left"/>
              <w:textAlignment w:val="top"/>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val="en-US" w:eastAsia="zh-CN" w:bidi="ar"/>
              </w:rPr>
              <w:t>内部已有一定研发基础</w:t>
            </w:r>
          </w:p>
        </w:tc>
      </w:tr>
      <w:tr w14:paraId="253A9AD4">
        <w:tblPrEx>
          <w:tblCellMar>
            <w:top w:w="0" w:type="dxa"/>
            <w:left w:w="108" w:type="dxa"/>
            <w:bottom w:w="0" w:type="dxa"/>
            <w:right w:w="108" w:type="dxa"/>
          </w:tblCellMar>
        </w:tblPrEx>
        <w:trPr>
          <w:trHeight w:val="1168" w:hRule="atLeast"/>
        </w:trPr>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1959">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预期效果</w:t>
            </w:r>
          </w:p>
        </w:tc>
        <w:tc>
          <w:tcPr>
            <w:tcW w:w="6995" w:type="dxa"/>
            <w:tcBorders>
              <w:top w:val="single" w:color="000000" w:sz="4" w:space="0"/>
              <w:left w:val="single" w:color="000000" w:sz="4" w:space="0"/>
              <w:bottom w:val="single" w:color="000000" w:sz="4" w:space="0"/>
              <w:right w:val="single" w:color="000000" w:sz="4" w:space="0"/>
            </w:tcBorders>
            <w:shd w:val="clear" w:color="auto" w:fill="auto"/>
          </w:tcPr>
          <w:p w14:paraId="0613602C">
            <w:pPr>
              <w:widowControl/>
              <w:ind w:right="-155" w:rightChars="-74"/>
              <w:textAlignment w:val="top"/>
              <w:rPr>
                <w:rFonts w:ascii="宋体" w:hAnsi="宋体" w:eastAsia="宋体" w:cs="宋体"/>
                <w:color w:val="000000"/>
                <w:sz w:val="22"/>
                <w:szCs w:val="22"/>
              </w:rPr>
            </w:pPr>
            <w:r>
              <w:rPr>
                <w:rFonts w:hint="eastAsia" w:ascii="宋体" w:hAnsi="宋体" w:eastAsia="宋体" w:cs="宋体"/>
                <w:color w:val="000000"/>
                <w:kern w:val="0"/>
                <w:sz w:val="22"/>
                <w:szCs w:val="22"/>
                <w:lang w:bidi="ar"/>
              </w:rPr>
              <w:t>项目完成后，减少活体肉鸡试验，每年节约动物试验成本约30万元；对外开展检测服务，预计新增年收入40万元；缩短新产品研发周期，加快饲料、禽药产品上市，提升产品竞争力。</w:t>
            </w:r>
          </w:p>
        </w:tc>
      </w:tr>
      <w:tr w14:paraId="2B1E56A2">
        <w:tblPrEx>
          <w:tblCellMar>
            <w:top w:w="0" w:type="dxa"/>
            <w:left w:w="108" w:type="dxa"/>
            <w:bottom w:w="0" w:type="dxa"/>
            <w:right w:w="108" w:type="dxa"/>
          </w:tblCellMar>
        </w:tblPrEx>
        <w:trPr>
          <w:trHeight w:val="1018" w:hRule="atLeast"/>
        </w:trPr>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E366">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转化应用规模目标</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94BF">
            <w:pPr>
              <w:widowControl/>
              <w:tabs>
                <w:tab w:val="left" w:pos="6520"/>
              </w:tabs>
              <w:ind w:right="10" w:rightChars="5"/>
              <w:jc w:val="both"/>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建成小型鸡肠道类器官制备实验室，单次可批量制备≥30份类器官样本；年可承接饲料、兽药样品体外评价测试200批次以上，满足企业内部研发及外部客户检测需求。</w:t>
            </w:r>
          </w:p>
        </w:tc>
      </w:tr>
      <w:tr w14:paraId="5F58CB41">
        <w:tblPrEx>
          <w:tblCellMar>
            <w:top w:w="0" w:type="dxa"/>
            <w:left w:w="108" w:type="dxa"/>
            <w:bottom w:w="0" w:type="dxa"/>
            <w:right w:w="108" w:type="dxa"/>
          </w:tblCellMar>
        </w:tblPrEx>
        <w:trPr>
          <w:trHeight w:val="1018" w:hRule="atLeast"/>
        </w:trPr>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DD04">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计划投资金额（万元）</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E839">
            <w:pPr>
              <w:widowControl/>
              <w:ind w:right="1592" w:rightChars="758"/>
              <w:jc w:val="center"/>
              <w:textAlignment w:val="center"/>
              <w:rPr>
                <w:rFonts w:ascii="Wingdings 2" w:hAnsi="Wingdings 2" w:eastAsia="Wingdings 2" w:cs="Wingdings 2"/>
                <w:color w:val="000000"/>
                <w:sz w:val="22"/>
                <w:szCs w:val="22"/>
              </w:rPr>
            </w:pPr>
            <w:r>
              <w:rPr>
                <w:rFonts w:hint="eastAsia" w:ascii="宋体" w:hAnsi="宋体" w:eastAsia="宋体" w:cs="宋体"/>
                <w:color w:val="000000"/>
                <w:kern w:val="0"/>
                <w:sz w:val="22"/>
                <w:szCs w:val="22"/>
                <w:lang w:val="en-US" w:eastAsia="zh-CN" w:bidi="ar"/>
              </w:rPr>
              <w:t>50</w:t>
            </w:r>
            <w:r>
              <w:rPr>
                <w:rFonts w:hint="eastAsia" w:ascii="宋体" w:hAnsi="宋体" w:eastAsia="宋体" w:cs="宋体"/>
                <w:color w:val="000000"/>
                <w:kern w:val="0"/>
                <w:sz w:val="22"/>
                <w:szCs w:val="22"/>
                <w:lang w:bidi="ar"/>
              </w:rPr>
              <w:t xml:space="preserve">万  </w:t>
            </w:r>
          </w:p>
        </w:tc>
      </w:tr>
      <w:tr w14:paraId="16A6DFF6">
        <w:tblPrEx>
          <w:tblCellMar>
            <w:top w:w="0" w:type="dxa"/>
            <w:left w:w="108" w:type="dxa"/>
            <w:bottom w:w="0" w:type="dxa"/>
            <w:right w:w="108" w:type="dxa"/>
          </w:tblCellMar>
        </w:tblPrEx>
        <w:trPr>
          <w:trHeight w:val="1260" w:hRule="atLeast"/>
        </w:trPr>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890A">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合作方式</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B2A5">
            <w:pPr>
              <w:widowControl/>
              <w:ind w:right="1071" w:rightChars="510"/>
              <w:jc w:val="center"/>
              <w:textAlignment w:val="center"/>
              <w:rPr>
                <w:rFonts w:ascii="Wingdings 2" w:hAnsi="Wingdings 2" w:eastAsia="Wingdings 2" w:cs="Wingdings 2"/>
                <w:color w:val="000000"/>
                <w:sz w:val="22"/>
                <w:szCs w:val="22"/>
              </w:rPr>
            </w:pP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技术转让</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技术许可</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作价入股</w:t>
            </w:r>
            <w:r>
              <w:rPr>
                <w:rFonts w:ascii="Wingdings 2" w:hAnsi="Wingdings 2" w:eastAsia="Wingdings 2" w:cs="Wingdings 2"/>
                <w:color w:val="000000"/>
                <w:kern w:val="0"/>
                <w:sz w:val="22"/>
                <w:szCs w:val="22"/>
                <w:lang w:bidi="ar"/>
              </w:rPr>
              <w:br w:type="textWrapping"/>
            </w:r>
            <w:r>
              <w:rPr>
                <w:rFonts w:hint="eastAsia" w:ascii="宋体" w:hAnsi="宋体" w:eastAsia="宋体" w:cs="宋体"/>
                <w:color w:val="000000"/>
                <w:kern w:val="0"/>
                <w:sz w:val="22"/>
                <w:szCs w:val="22"/>
                <w:lang w:bidi="ar"/>
              </w:rPr>
              <w:t>☑技术开发</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技术咨询</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技术服务</w:t>
            </w:r>
          </w:p>
        </w:tc>
      </w:tr>
    </w:tbl>
    <w:p w14:paraId="42B965DC">
      <w:pPr>
        <w:rPr>
          <w:rFonts w:ascii="仿宋_GB2312" w:hAnsi="仿宋_GB2312" w:eastAsia="仿宋_GB2312" w:cs="仿宋_GB2312"/>
          <w:sz w:val="32"/>
          <w:szCs w:val="32"/>
        </w:rPr>
      </w:pPr>
    </w:p>
    <w:p w14:paraId="7B4BE55C">
      <w:pPr>
        <w:rPr>
          <w:rFonts w:ascii="仿宋_GB2312" w:hAnsi="仿宋_GB2312" w:eastAsia="仿宋_GB2312" w:cs="仿宋_GB2312"/>
          <w:sz w:val="32"/>
          <w:szCs w:val="32"/>
        </w:rPr>
      </w:pPr>
    </w:p>
    <w:p w14:paraId="396C0B74">
      <w:pPr>
        <w:rPr>
          <w:rFonts w:ascii="仿宋_GB2312" w:hAnsi="仿宋_GB2312" w:eastAsia="仿宋_GB2312" w:cs="仿宋_GB2312"/>
          <w:sz w:val="32"/>
          <w:szCs w:val="32"/>
        </w:rPr>
      </w:pPr>
    </w:p>
    <w:p w14:paraId="7250F775">
      <w:pPr>
        <w:rPr>
          <w:rFonts w:ascii="仿宋_GB2312" w:hAnsi="仿宋_GB2312" w:eastAsia="仿宋_GB2312" w:cs="仿宋_GB2312"/>
          <w:sz w:val="32"/>
          <w:szCs w:val="32"/>
        </w:rPr>
      </w:pPr>
    </w:p>
    <w:p w14:paraId="4CACC679">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项目</w:t>
      </w:r>
      <w:r>
        <w:rPr>
          <w:rFonts w:hint="eastAsia" w:ascii="仿宋_GB2312" w:hAnsi="仿宋_GB2312" w:eastAsia="仿宋_GB2312" w:cs="仿宋_GB2312"/>
          <w:b/>
          <w:bCs/>
          <w:sz w:val="32"/>
          <w:szCs w:val="32"/>
          <w:lang w:val="en-US" w:eastAsia="zh-CN"/>
        </w:rPr>
        <w:t>五</w:t>
      </w:r>
    </w:p>
    <w:p w14:paraId="2E24F259">
      <w:pPr>
        <w:jc w:val="center"/>
        <w:rPr>
          <w:rFonts w:ascii="仿宋_GB2312" w:hAnsi="仿宋_GB2312" w:eastAsia="仿宋_GB2312" w:cs="仿宋_GB2312"/>
          <w:b/>
          <w:bCs/>
          <w:sz w:val="40"/>
          <w:szCs w:val="40"/>
        </w:rPr>
      </w:pPr>
      <w:r>
        <w:rPr>
          <w:rFonts w:hint="eastAsia" w:ascii="仿宋_GB2312" w:hAnsi="仿宋_GB2312" w:eastAsia="仿宋_GB2312" w:cs="仿宋_GB2312"/>
          <w:b/>
          <w:bCs/>
          <w:sz w:val="40"/>
          <w:szCs w:val="40"/>
          <w:lang w:val="en-US" w:eastAsia="zh-CN"/>
        </w:rPr>
        <w:t xml:space="preserve">  </w:t>
      </w:r>
      <w:r>
        <w:rPr>
          <w:rFonts w:hint="eastAsia" w:ascii="仿宋_GB2312" w:hAnsi="仿宋_GB2312" w:eastAsia="仿宋_GB2312" w:cs="仿宋_GB2312"/>
          <w:b/>
          <w:bCs/>
          <w:sz w:val="40"/>
          <w:szCs w:val="40"/>
        </w:rPr>
        <w:t>具有自主知识产权的动物核酸药物递送系统</w:t>
      </w:r>
    </w:p>
    <w:tbl>
      <w:tblPr>
        <w:tblStyle w:val="4"/>
        <w:tblpPr w:leftFromText="180" w:rightFromText="180" w:vertAnchor="text" w:horzAnchor="page" w:tblpX="1869" w:tblpY="546"/>
        <w:tblOverlap w:val="never"/>
        <w:tblW w:w="8583" w:type="dxa"/>
        <w:tblInd w:w="0" w:type="dxa"/>
        <w:tblLayout w:type="autofit"/>
        <w:tblCellMar>
          <w:top w:w="0" w:type="dxa"/>
          <w:left w:w="108" w:type="dxa"/>
          <w:bottom w:w="0" w:type="dxa"/>
          <w:right w:w="108" w:type="dxa"/>
        </w:tblCellMar>
      </w:tblPr>
      <w:tblGrid>
        <w:gridCol w:w="2325"/>
        <w:gridCol w:w="6258"/>
      </w:tblGrid>
      <w:tr w14:paraId="59EE9616">
        <w:tblPrEx>
          <w:tblCellMar>
            <w:top w:w="0" w:type="dxa"/>
            <w:left w:w="108" w:type="dxa"/>
            <w:bottom w:w="0" w:type="dxa"/>
            <w:right w:w="108" w:type="dxa"/>
          </w:tblCellMar>
        </w:tblPrEx>
        <w:trPr>
          <w:trHeight w:val="690" w:hRule="atLeast"/>
        </w:trPr>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6B6B">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所属领域</w:t>
            </w:r>
          </w:p>
        </w:tc>
        <w:tc>
          <w:tcPr>
            <w:tcW w:w="6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F346">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val="en-US" w:eastAsia="zh-CN" w:bidi="ar"/>
              </w:rPr>
              <w:t>生物制造</w:t>
            </w:r>
          </w:p>
        </w:tc>
      </w:tr>
      <w:tr w14:paraId="32C2402B">
        <w:tblPrEx>
          <w:tblCellMar>
            <w:top w:w="0" w:type="dxa"/>
            <w:left w:w="108" w:type="dxa"/>
            <w:bottom w:w="0" w:type="dxa"/>
            <w:right w:w="108" w:type="dxa"/>
          </w:tblCellMar>
        </w:tblPrEx>
        <w:trPr>
          <w:trHeight w:val="2240" w:hRule="atLeast"/>
        </w:trPr>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13D5">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需求类型</w:t>
            </w:r>
          </w:p>
        </w:tc>
        <w:tc>
          <w:tcPr>
            <w:tcW w:w="6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EC4E">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☑新产品开发  </w:t>
            </w:r>
          </w:p>
          <w:p w14:paraId="4FE73B44">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☑产品升级换代   </w:t>
            </w:r>
          </w:p>
          <w:p w14:paraId="6C5668EC">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□生产线技术改造   </w:t>
            </w:r>
          </w:p>
          <w:p w14:paraId="3BBF865E">
            <w:pPr>
              <w:widowControl/>
              <w:jc w:val="left"/>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eastAsia="zh-CN" w:bidi="ar"/>
              </w:rPr>
              <w:t xml:space="preserve">☑制造工艺改进   </w:t>
            </w:r>
          </w:p>
          <w:p w14:paraId="0191BE7B">
            <w:pPr>
              <w:widowControl/>
              <w:jc w:val="left"/>
              <w:textAlignment w:val="center"/>
              <w:rPr>
                <w:rFonts w:ascii="Wingdings 2" w:hAnsi="Wingdings 2" w:eastAsia="Wingdings 2" w:cs="Wingdings 2"/>
                <w:color w:val="000000"/>
                <w:sz w:val="22"/>
                <w:szCs w:val="22"/>
              </w:rPr>
            </w:pPr>
            <w:r>
              <w:rPr>
                <w:rFonts w:hint="eastAsia" w:ascii="宋体" w:hAnsi="宋体" w:eastAsia="宋体" w:cs="宋体"/>
                <w:color w:val="000000"/>
                <w:kern w:val="0"/>
                <w:sz w:val="22"/>
                <w:szCs w:val="22"/>
                <w:lang w:eastAsia="zh-CN" w:bidi="ar"/>
              </w:rPr>
              <w:t>□制造装备改进</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□其他</w:t>
            </w:r>
          </w:p>
        </w:tc>
      </w:tr>
      <w:tr w14:paraId="59764D5F">
        <w:tblPrEx>
          <w:tblCellMar>
            <w:top w:w="0" w:type="dxa"/>
            <w:left w:w="108" w:type="dxa"/>
            <w:bottom w:w="0" w:type="dxa"/>
            <w:right w:w="108" w:type="dxa"/>
          </w:tblCellMar>
        </w:tblPrEx>
        <w:trPr>
          <w:trHeight w:val="1740" w:hRule="atLeast"/>
        </w:trPr>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C207">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需求内容</w:t>
            </w:r>
          </w:p>
        </w:tc>
        <w:tc>
          <w:tcPr>
            <w:tcW w:w="6258" w:type="dxa"/>
            <w:tcBorders>
              <w:top w:val="single" w:color="000000" w:sz="4" w:space="0"/>
              <w:left w:val="single" w:color="000000" w:sz="4" w:space="0"/>
              <w:bottom w:val="single" w:color="000000" w:sz="4" w:space="0"/>
              <w:right w:val="single" w:color="000000" w:sz="4" w:space="0"/>
            </w:tcBorders>
            <w:shd w:val="clear" w:color="auto" w:fill="auto"/>
          </w:tcPr>
          <w:p w14:paraId="3DB756BA">
            <w:pPr>
              <w:widowControl/>
              <w:jc w:val="left"/>
              <w:textAlignment w:val="top"/>
              <w:rPr>
                <w:rFonts w:ascii="宋体" w:hAnsi="宋体" w:eastAsia="宋体" w:cs="宋体"/>
                <w:color w:val="000000"/>
                <w:sz w:val="22"/>
                <w:szCs w:val="22"/>
              </w:rPr>
            </w:pPr>
            <w:r>
              <w:rPr>
                <w:rFonts w:hint="eastAsia" w:ascii="宋体" w:hAnsi="宋体" w:eastAsia="宋体" w:cs="宋体"/>
                <w:color w:val="000000"/>
                <w:kern w:val="0"/>
                <w:sz w:val="22"/>
                <w:szCs w:val="22"/>
                <w:lang w:bidi="ar"/>
              </w:rPr>
              <w:t>（1）包封率≥85%—90%；（2）粒径分布稳定，PDI可控；（3）肌肉注射后能在注射部位或引流淋巴结形成有效抗原表达；（4）对猪、牛、犬、猫等目标动物原代细胞或体内模型有明确转染/表达证据；（5）批间一致性可支持后续GMP放大；（6）具有自主知识产权。</w:t>
            </w:r>
          </w:p>
        </w:tc>
      </w:tr>
      <w:tr w14:paraId="1AFAD0E7">
        <w:tblPrEx>
          <w:tblCellMar>
            <w:top w:w="0" w:type="dxa"/>
            <w:left w:w="108" w:type="dxa"/>
            <w:bottom w:w="0" w:type="dxa"/>
            <w:right w:w="108" w:type="dxa"/>
          </w:tblCellMar>
        </w:tblPrEx>
        <w:trPr>
          <w:trHeight w:val="592" w:hRule="atLeast"/>
        </w:trPr>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EA78A">
            <w:pPr>
              <w:jc w:val="center"/>
              <w:rPr>
                <w:rFonts w:ascii="宋体" w:hAnsi="宋体" w:eastAsia="宋体" w:cs="宋体"/>
                <w:color w:val="000000"/>
                <w:sz w:val="22"/>
                <w:szCs w:val="22"/>
              </w:rPr>
            </w:pPr>
            <w:r>
              <w:rPr>
                <w:rFonts w:hint="eastAsia" w:ascii="宋体" w:hAnsi="宋体" w:eastAsia="宋体" w:cs="宋体"/>
                <w:color w:val="000000"/>
                <w:sz w:val="22"/>
                <w:szCs w:val="22"/>
              </w:rPr>
              <w:t>现有基础</w:t>
            </w:r>
          </w:p>
        </w:tc>
        <w:tc>
          <w:tcPr>
            <w:tcW w:w="6258" w:type="dxa"/>
            <w:tcBorders>
              <w:top w:val="single" w:color="000000" w:sz="4" w:space="0"/>
              <w:left w:val="single" w:color="000000" w:sz="4" w:space="0"/>
              <w:bottom w:val="single" w:color="000000" w:sz="4" w:space="0"/>
              <w:right w:val="single" w:color="000000" w:sz="4" w:space="0"/>
            </w:tcBorders>
            <w:shd w:val="clear" w:color="auto" w:fill="auto"/>
          </w:tcPr>
          <w:p w14:paraId="034CA3EF">
            <w:pPr>
              <w:widowControl/>
              <w:jc w:val="left"/>
              <w:textAlignment w:val="top"/>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val="en-US" w:eastAsia="zh-CN" w:bidi="ar"/>
              </w:rPr>
              <w:t>内部已有一定研发基础</w:t>
            </w:r>
          </w:p>
        </w:tc>
      </w:tr>
      <w:tr w14:paraId="29100220">
        <w:tblPrEx>
          <w:tblCellMar>
            <w:top w:w="0" w:type="dxa"/>
            <w:left w:w="108" w:type="dxa"/>
            <w:bottom w:w="0" w:type="dxa"/>
            <w:right w:w="108" w:type="dxa"/>
          </w:tblCellMar>
        </w:tblPrEx>
        <w:trPr>
          <w:trHeight w:val="886" w:hRule="atLeast"/>
        </w:trPr>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05027">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预期效果</w:t>
            </w:r>
          </w:p>
        </w:tc>
        <w:tc>
          <w:tcPr>
            <w:tcW w:w="6258" w:type="dxa"/>
            <w:tcBorders>
              <w:top w:val="single" w:color="000000" w:sz="4" w:space="0"/>
              <w:left w:val="single" w:color="000000" w:sz="4" w:space="0"/>
              <w:bottom w:val="single" w:color="000000" w:sz="4" w:space="0"/>
              <w:right w:val="single" w:color="000000" w:sz="4" w:space="0"/>
            </w:tcBorders>
            <w:shd w:val="clear" w:color="auto" w:fill="auto"/>
          </w:tcPr>
          <w:p w14:paraId="65CF2EAA">
            <w:pPr>
              <w:widowControl/>
              <w:ind w:right="1569" w:rightChars="747"/>
              <w:textAlignment w:val="top"/>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1、近期：1—2年，完成平台验证；</w:t>
            </w:r>
          </w:p>
          <w:p w14:paraId="2EE3A46F">
            <w:pPr>
              <w:widowControl/>
              <w:tabs>
                <w:tab w:val="left" w:pos="5040"/>
                <w:tab w:val="left" w:pos="5460"/>
              </w:tabs>
              <w:ind w:right="546" w:rightChars="260"/>
              <w:textAlignment w:val="top"/>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2、中期：3—5年，形成自有产品与平台收入双轮驱动；</w:t>
            </w:r>
          </w:p>
          <w:p w14:paraId="13C52207">
            <w:pPr>
              <w:widowControl/>
              <w:tabs>
                <w:tab w:val="left" w:pos="5040"/>
              </w:tabs>
              <w:ind w:right="1186" w:rightChars="565"/>
              <w:textAlignment w:val="top"/>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3、远期：5—8年，成为兽用核酸药物底层平台。</w:t>
            </w:r>
          </w:p>
          <w:p w14:paraId="47C660AF">
            <w:pPr>
              <w:widowControl/>
              <w:tabs>
                <w:tab w:val="left" w:pos="5460"/>
              </w:tabs>
              <w:ind w:right="346" w:rightChars="165"/>
              <w:textAlignment w:val="top"/>
              <w:rPr>
                <w:rFonts w:ascii="宋体" w:hAnsi="宋体" w:eastAsia="宋体" w:cs="宋体"/>
                <w:color w:val="000000"/>
                <w:sz w:val="22"/>
                <w:szCs w:val="22"/>
              </w:rPr>
            </w:pPr>
            <w:r>
              <w:rPr>
                <w:rFonts w:hint="eastAsia" w:ascii="宋体" w:hAnsi="宋体" w:eastAsia="宋体" w:cs="宋体"/>
                <w:color w:val="000000"/>
                <w:kern w:val="0"/>
                <w:sz w:val="22"/>
                <w:szCs w:val="22"/>
                <w:lang w:bidi="ar"/>
              </w:rPr>
              <w:t xml:space="preserve">4、递送系统本身不会立刻带来大规模利润，但它能把企业从“单一疫苗制造商”升级为“核酸药物底层平台企业”。 </w:t>
            </w:r>
          </w:p>
        </w:tc>
      </w:tr>
      <w:tr w14:paraId="4503D277">
        <w:tblPrEx>
          <w:tblCellMar>
            <w:top w:w="0" w:type="dxa"/>
            <w:left w:w="108" w:type="dxa"/>
            <w:bottom w:w="0" w:type="dxa"/>
            <w:right w:w="108" w:type="dxa"/>
          </w:tblCellMar>
        </w:tblPrEx>
        <w:trPr>
          <w:trHeight w:val="884" w:hRule="atLeast"/>
        </w:trPr>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DDB7">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转化应用规模目标</w:t>
            </w:r>
          </w:p>
        </w:tc>
        <w:tc>
          <w:tcPr>
            <w:tcW w:w="6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238B3">
            <w:pPr>
              <w:widowControl/>
              <w:numPr>
                <w:ilvl w:val="0"/>
                <w:numId w:val="1"/>
              </w:numPr>
              <w:ind w:left="-199" w:leftChars="-95" w:firstLine="0" w:firstLineChars="0"/>
              <w:jc w:val="both"/>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短期形成临床与小批量商业化供给能力；</w:t>
            </w:r>
          </w:p>
          <w:p w14:paraId="17DEDD2E">
            <w:pPr>
              <w:widowControl/>
              <w:numPr>
                <w:ilvl w:val="0"/>
                <w:numId w:val="2"/>
              </w:numPr>
              <w:ind w:leftChars="-95"/>
              <w:jc w:val="both"/>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中期达到百万—千万头份级兽用疫苗产能；</w:t>
            </w:r>
          </w:p>
          <w:p w14:paraId="788DB62A">
            <w:pPr>
              <w:widowControl/>
              <w:numPr>
                <w:ilvl w:val="0"/>
                <w:numId w:val="2"/>
              </w:numPr>
              <w:ind w:leftChars="-95"/>
              <w:jc w:val="both"/>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远期可支撑亿头份级mRNA/核酸疫苗产线。</w:t>
            </w:r>
          </w:p>
        </w:tc>
      </w:tr>
      <w:tr w14:paraId="0C4ACC4E">
        <w:tblPrEx>
          <w:tblCellMar>
            <w:top w:w="0" w:type="dxa"/>
            <w:left w:w="108" w:type="dxa"/>
            <w:bottom w:w="0" w:type="dxa"/>
            <w:right w:w="108" w:type="dxa"/>
          </w:tblCellMar>
        </w:tblPrEx>
        <w:trPr>
          <w:trHeight w:val="884" w:hRule="atLeast"/>
        </w:trPr>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62B9">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计划投资金额（万元）</w:t>
            </w:r>
          </w:p>
        </w:tc>
        <w:tc>
          <w:tcPr>
            <w:tcW w:w="6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D305">
            <w:pPr>
              <w:widowControl/>
              <w:jc w:val="center"/>
              <w:textAlignment w:val="center"/>
              <w:rPr>
                <w:rFonts w:ascii="Wingdings 2" w:hAnsi="Wingdings 2" w:eastAsia="Wingdings 2" w:cs="Wingdings 2"/>
                <w:color w:val="000000"/>
                <w:sz w:val="22"/>
                <w:szCs w:val="22"/>
              </w:rPr>
            </w:pPr>
            <w:r>
              <w:rPr>
                <w:rFonts w:hint="eastAsia" w:ascii="宋体" w:hAnsi="宋体" w:eastAsia="宋体" w:cs="宋体"/>
                <w:color w:val="000000"/>
                <w:kern w:val="0"/>
                <w:sz w:val="22"/>
                <w:szCs w:val="22"/>
                <w:lang w:val="en-US" w:eastAsia="zh-CN" w:bidi="ar"/>
              </w:rPr>
              <w:t>20</w:t>
            </w:r>
            <w:r>
              <w:rPr>
                <w:rFonts w:hint="eastAsia" w:ascii="宋体" w:hAnsi="宋体" w:eastAsia="宋体" w:cs="宋体"/>
                <w:color w:val="000000"/>
                <w:kern w:val="0"/>
                <w:sz w:val="22"/>
                <w:szCs w:val="22"/>
                <w:lang w:bidi="ar"/>
              </w:rPr>
              <w:t xml:space="preserve">万     </w:t>
            </w:r>
          </w:p>
        </w:tc>
      </w:tr>
      <w:tr w14:paraId="4F6EC715">
        <w:tblPrEx>
          <w:tblCellMar>
            <w:top w:w="0" w:type="dxa"/>
            <w:left w:w="108" w:type="dxa"/>
            <w:bottom w:w="0" w:type="dxa"/>
            <w:right w:w="108" w:type="dxa"/>
          </w:tblCellMar>
        </w:tblPrEx>
        <w:trPr>
          <w:trHeight w:val="1260" w:hRule="atLeast"/>
        </w:trPr>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1CBF">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合作方式</w:t>
            </w:r>
          </w:p>
        </w:tc>
        <w:tc>
          <w:tcPr>
            <w:tcW w:w="6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EAF2">
            <w:pPr>
              <w:widowControl/>
              <w:jc w:val="center"/>
              <w:textAlignment w:val="center"/>
              <w:rPr>
                <w:rFonts w:ascii="Wingdings 2" w:hAnsi="Wingdings 2" w:eastAsia="Wingdings 2" w:cs="Wingdings 2"/>
                <w:color w:val="000000"/>
                <w:sz w:val="22"/>
                <w:szCs w:val="22"/>
              </w:rPr>
            </w:pPr>
            <w:r>
              <w:rPr>
                <w:rFonts w:ascii="Wingdings 2" w:hAnsi="Wingdings 2" w:eastAsia="Wingdings 2" w:cs="Wingdings 2"/>
                <w:color w:val="000000"/>
                <w:kern w:val="0"/>
                <w:sz w:val="22"/>
                <w:szCs w:val="22"/>
                <w:lang w:bidi="ar"/>
              </w:rPr>
              <w:sym w:font="Wingdings 2" w:char="00A3"/>
            </w:r>
            <w:r>
              <w:rPr>
                <w:rFonts w:hint="eastAsia" w:ascii="宋体" w:hAnsi="宋体" w:eastAsia="宋体" w:cs="宋体"/>
                <w:color w:val="000000"/>
                <w:kern w:val="0"/>
                <w:sz w:val="22"/>
                <w:szCs w:val="22"/>
                <w:lang w:bidi="ar"/>
              </w:rPr>
              <w:t>技术转让</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技术许可</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作价入股</w:t>
            </w:r>
            <w:r>
              <w:rPr>
                <w:rFonts w:ascii="Wingdings 2" w:hAnsi="Wingdings 2" w:eastAsia="Wingdings 2" w:cs="Wingdings 2"/>
                <w:color w:val="000000"/>
                <w:kern w:val="0"/>
                <w:sz w:val="22"/>
                <w:szCs w:val="22"/>
                <w:lang w:bidi="ar"/>
              </w:rPr>
              <w:br w:type="textWrapping"/>
            </w:r>
            <w:r>
              <w:rPr>
                <w:rFonts w:hint="eastAsia" w:ascii="宋体" w:hAnsi="宋体" w:eastAsia="宋体" w:cs="宋体"/>
                <w:color w:val="000000"/>
                <w:kern w:val="0"/>
                <w:sz w:val="22"/>
                <w:szCs w:val="22"/>
                <w:lang w:bidi="ar"/>
              </w:rPr>
              <w:t>☑技术开发</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技术咨询</w:t>
            </w:r>
            <w:r>
              <w:rPr>
                <w:rFonts w:ascii="Wingdings 2" w:hAnsi="Wingdings 2" w:eastAsia="Wingdings 2" w:cs="Wingdings 2"/>
                <w:color w:val="000000"/>
                <w:kern w:val="0"/>
                <w:sz w:val="22"/>
                <w:szCs w:val="22"/>
                <w:lang w:bidi="ar"/>
              </w:rPr>
              <w:t></w:t>
            </w:r>
            <w:r>
              <w:rPr>
                <w:rFonts w:hint="eastAsia" w:ascii="宋体" w:hAnsi="宋体" w:eastAsia="宋体" w:cs="宋体"/>
                <w:color w:val="000000"/>
                <w:kern w:val="0"/>
                <w:sz w:val="22"/>
                <w:szCs w:val="22"/>
                <w:lang w:bidi="ar"/>
              </w:rPr>
              <w:t>技术服务</w:t>
            </w:r>
          </w:p>
        </w:tc>
      </w:tr>
    </w:tbl>
    <w:p w14:paraId="101E6746">
      <w:pPr>
        <w:rPr>
          <w:rFonts w:ascii="仿宋_GB2312" w:hAnsi="仿宋_GB2312" w:eastAsia="仿宋_GB2312" w:cs="仿宋_GB2312"/>
          <w:sz w:val="32"/>
          <w:szCs w:val="32"/>
        </w:rPr>
      </w:pPr>
    </w:p>
    <w:p w14:paraId="6A87F6F7">
      <w:pPr>
        <w:rPr>
          <w:rFonts w:ascii="仿宋_GB2312" w:hAnsi="仿宋_GB2312" w:eastAsia="仿宋_GB2312" w:cs="仿宋_GB2312"/>
          <w:sz w:val="32"/>
          <w:szCs w:val="32"/>
        </w:rPr>
      </w:pPr>
    </w:p>
    <w:p w14:paraId="316BEBD4">
      <w:pPr>
        <w:spacing w:before="0" w:beforeLines="0" w:after="0" w:afterLines="0" w:line="240" w:lineRule="auto"/>
        <w:ind w:left="0" w:leftChars="0" w:right="0" w:rightChars="0" w:firstLine="0" w:firstLineChars="0"/>
        <w:jc w:val="both"/>
        <w:rPr>
          <w:rFonts w:ascii="仿宋_GB2312" w:hAnsi="仿宋_GB2312" w:eastAsia="仿宋_GB2312" w:cs="仿宋_GB2312"/>
          <w:kern w:val="2"/>
          <w:sz w:val="32"/>
          <w:szCs w:val="32"/>
          <w:lang w:val="en-US" w:eastAsia="zh-CN" w:bidi="ar-SA"/>
        </w:rPr>
      </w:pPr>
    </w:p>
    <w:sectPr>
      <w:pgSz w:w="11900" w:h="16840"/>
      <w:pgMar w:top="1440" w:right="1803" w:bottom="1440" w:left="1803" w:header="851" w:footer="992" w:gutter="0"/>
      <w:pgNumType w:fmt="decimal"/>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decorative"/>
    <w:pitch w:val="default"/>
    <w:sig w:usb0="00000000" w:usb1="00000000" w:usb2="00000000" w:usb3="00000000" w:csb0="80000000" w:csb1="00000000"/>
    <w:embedRegular r:id="rId1" w:fontKey="{003A5CE0-D513-4D02-BE51-197A61D3765F}"/>
  </w:font>
  <w:font w:name="Segoe UI Symbol">
    <w:panose1 w:val="020B0502040204020203"/>
    <w:charset w:val="00"/>
    <w:family w:val="swiss"/>
    <w:pitch w:val="default"/>
    <w:sig w:usb0="800001E3" w:usb1="1200FFEF" w:usb2="00040000" w:usb3="04000000" w:csb0="00000001" w:csb1="40000000"/>
  </w:font>
  <w:font w:name="方正小标宋简体">
    <w:panose1 w:val="02000000000000000000"/>
    <w:charset w:val="86"/>
    <w:family w:val="auto"/>
    <w:pitch w:val="default"/>
    <w:sig w:usb0="A00002BF" w:usb1="184F6CFA" w:usb2="00000012" w:usb3="00000000" w:csb0="00040001" w:csb1="00000000"/>
    <w:embedRegular r:id="rId2" w:fontKey="{C3A10930-2AC6-4873-B28C-B1A459A9A5CC}"/>
  </w:font>
  <w:font w:name="仿宋_GB2312">
    <w:panose1 w:val="02010609030101010101"/>
    <w:charset w:val="86"/>
    <w:family w:val="modern"/>
    <w:pitch w:val="default"/>
    <w:sig w:usb0="00000001" w:usb1="080E0000" w:usb2="00000000" w:usb3="00000000" w:csb0="00040000" w:csb1="00000000"/>
    <w:embedRegular r:id="rId3" w:fontKey="{55B78AF7-ECB8-4DDD-8ED2-DB95685A54E2}"/>
  </w:font>
  <w:font w:name="方正大标宋简体">
    <w:panose1 w:val="02000000000000000000"/>
    <w:charset w:val="86"/>
    <w:family w:val="auto"/>
    <w:pitch w:val="default"/>
    <w:sig w:usb0="A00002BF" w:usb1="184F6CFA" w:usb2="00000012" w:usb3="00000000" w:csb0="00040001" w:csb1="00000000"/>
    <w:embedRegular r:id="rId4" w:fontKey="{09AC7D4C-B291-42BD-A2D7-5544EDF3B35C}"/>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8E534">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46D11">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9A3BF">
                          <w:pPr>
                            <w:pStyle w:val="2"/>
                            <w:rPr>
                              <w:rFonts w:hint="eastAsia" w:ascii="方正大标宋简体" w:hAnsi="方正大标宋简体" w:eastAsia="方正大标宋简体" w:cs="方正大标宋简体"/>
                              <w:b/>
                              <w:bCs/>
                            </w:rPr>
                          </w:pPr>
                          <w:r>
                            <w:rPr>
                              <w:rFonts w:hint="eastAsia" w:ascii="方正大标宋简体" w:hAnsi="方正大标宋简体" w:eastAsia="方正大标宋简体" w:cs="方正大标宋简体"/>
                              <w:b/>
                              <w:bCs/>
                            </w:rPr>
                            <w:fldChar w:fldCharType="begin"/>
                          </w:r>
                          <w:r>
                            <w:rPr>
                              <w:rFonts w:hint="eastAsia" w:ascii="方正大标宋简体" w:hAnsi="方正大标宋简体" w:eastAsia="方正大标宋简体" w:cs="方正大标宋简体"/>
                              <w:b/>
                              <w:bCs/>
                            </w:rPr>
                            <w:instrText xml:space="preserve"> PAGE  \* MERGEFORMAT </w:instrText>
                          </w:r>
                          <w:r>
                            <w:rPr>
                              <w:rFonts w:hint="eastAsia" w:ascii="方正大标宋简体" w:hAnsi="方正大标宋简体" w:eastAsia="方正大标宋简体" w:cs="方正大标宋简体"/>
                              <w:b/>
                              <w:bCs/>
                            </w:rPr>
                            <w:fldChar w:fldCharType="separate"/>
                          </w:r>
                          <w:r>
                            <w:rPr>
                              <w:rFonts w:hint="eastAsia" w:ascii="方正大标宋简体" w:hAnsi="方正大标宋简体" w:eastAsia="方正大标宋简体" w:cs="方正大标宋简体"/>
                              <w:b/>
                              <w:bCs/>
                            </w:rPr>
                            <w:t>3</w:t>
                          </w:r>
                          <w:r>
                            <w:rPr>
                              <w:rFonts w:hint="eastAsia" w:ascii="方正大标宋简体" w:hAnsi="方正大标宋简体" w:eastAsia="方正大标宋简体" w:cs="方正大标宋简体"/>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559A3BF">
                    <w:pPr>
                      <w:pStyle w:val="2"/>
                      <w:rPr>
                        <w:rFonts w:hint="eastAsia" w:ascii="方正大标宋简体" w:hAnsi="方正大标宋简体" w:eastAsia="方正大标宋简体" w:cs="方正大标宋简体"/>
                        <w:b/>
                        <w:bCs/>
                      </w:rPr>
                    </w:pPr>
                    <w:r>
                      <w:rPr>
                        <w:rFonts w:hint="eastAsia" w:ascii="方正大标宋简体" w:hAnsi="方正大标宋简体" w:eastAsia="方正大标宋简体" w:cs="方正大标宋简体"/>
                        <w:b/>
                        <w:bCs/>
                      </w:rPr>
                      <w:fldChar w:fldCharType="begin"/>
                    </w:r>
                    <w:r>
                      <w:rPr>
                        <w:rFonts w:hint="eastAsia" w:ascii="方正大标宋简体" w:hAnsi="方正大标宋简体" w:eastAsia="方正大标宋简体" w:cs="方正大标宋简体"/>
                        <w:b/>
                        <w:bCs/>
                      </w:rPr>
                      <w:instrText xml:space="preserve"> PAGE  \* MERGEFORMAT </w:instrText>
                    </w:r>
                    <w:r>
                      <w:rPr>
                        <w:rFonts w:hint="eastAsia" w:ascii="方正大标宋简体" w:hAnsi="方正大标宋简体" w:eastAsia="方正大标宋简体" w:cs="方正大标宋简体"/>
                        <w:b/>
                        <w:bCs/>
                      </w:rPr>
                      <w:fldChar w:fldCharType="separate"/>
                    </w:r>
                    <w:r>
                      <w:rPr>
                        <w:rFonts w:hint="eastAsia" w:ascii="方正大标宋简体" w:hAnsi="方正大标宋简体" w:eastAsia="方正大标宋简体" w:cs="方正大标宋简体"/>
                        <w:b/>
                        <w:bCs/>
                      </w:rPr>
                      <w:t>3</w:t>
                    </w:r>
                    <w:r>
                      <w:rPr>
                        <w:rFonts w:hint="eastAsia" w:ascii="方正大标宋简体" w:hAnsi="方正大标宋简体" w:eastAsia="方正大标宋简体" w:cs="方正大标宋简体"/>
                        <w:b/>
                        <w:bCs/>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29DD0"/>
    <w:multiLevelType w:val="singleLevel"/>
    <w:tmpl w:val="A1629DD0"/>
    <w:lvl w:ilvl="0" w:tentative="0">
      <w:start w:val="11"/>
      <w:numFmt w:val="decimal"/>
      <w:suff w:val="nothing"/>
      <w:lvlText w:val="%1、"/>
      <w:lvlJc w:val="left"/>
    </w:lvl>
  </w:abstractNum>
  <w:abstractNum w:abstractNumId="1">
    <w:nsid w:val="DD4E5959"/>
    <w:multiLevelType w:val="singleLevel"/>
    <w:tmpl w:val="DD4E5959"/>
    <w:lvl w:ilvl="0" w:tentative="0">
      <w:start w:val="2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3ZjMyYzUxMmRlNDJjZGZlZTk4MzAwMTgxYTJlZjkifQ=="/>
  </w:docVars>
  <w:rsids>
    <w:rsidRoot w:val="00222FBC"/>
    <w:rsid w:val="00222FBC"/>
    <w:rsid w:val="005D3A7B"/>
    <w:rsid w:val="00950CBD"/>
    <w:rsid w:val="00B25976"/>
    <w:rsid w:val="089C228F"/>
    <w:rsid w:val="0E041E13"/>
    <w:rsid w:val="0E0B6704"/>
    <w:rsid w:val="0E660FD0"/>
    <w:rsid w:val="15EB57E5"/>
    <w:rsid w:val="165765D4"/>
    <w:rsid w:val="20BC7D18"/>
    <w:rsid w:val="25207829"/>
    <w:rsid w:val="273B25BF"/>
    <w:rsid w:val="294C1D8A"/>
    <w:rsid w:val="2C8400F7"/>
    <w:rsid w:val="2C97499E"/>
    <w:rsid w:val="2EF35864"/>
    <w:rsid w:val="32E05BA8"/>
    <w:rsid w:val="37321D64"/>
    <w:rsid w:val="3BC929EF"/>
    <w:rsid w:val="3E7C34DA"/>
    <w:rsid w:val="4CD174D7"/>
    <w:rsid w:val="57FE49CA"/>
    <w:rsid w:val="59352B9C"/>
    <w:rsid w:val="5CF822B6"/>
    <w:rsid w:val="65B92DEA"/>
    <w:rsid w:val="66826DDA"/>
    <w:rsid w:val="6A3A4995"/>
    <w:rsid w:val="6D236455"/>
    <w:rsid w:val="6E0746BF"/>
    <w:rsid w:val="6F9FF0DB"/>
    <w:rsid w:val="798B43D9"/>
    <w:rsid w:val="7CEC0DF9"/>
    <w:rsid w:val="7F5B2AAD"/>
    <w:rsid w:val="8EEE829B"/>
    <w:rsid w:val="BFDF84D4"/>
    <w:rsid w:val="D9B648C7"/>
    <w:rsid w:val="E7BD7346"/>
    <w:rsid w:val="FABED6AA"/>
    <w:rsid w:val="FDDB6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61"/>
    <w:basedOn w:val="6"/>
    <w:qFormat/>
    <w:uiPriority w:val="0"/>
    <w:rPr>
      <w:rFonts w:hint="eastAsia" w:ascii="宋体" w:hAnsi="宋体" w:eastAsia="宋体" w:cs="宋体"/>
      <w:color w:val="000000"/>
      <w:sz w:val="22"/>
      <w:szCs w:val="22"/>
      <w:u w:val="none"/>
    </w:rPr>
  </w:style>
  <w:style w:type="character" w:customStyle="1" w:styleId="8">
    <w:name w:val="font41"/>
    <w:basedOn w:val="6"/>
    <w:qFormat/>
    <w:uiPriority w:val="0"/>
    <w:rPr>
      <w:rFonts w:ascii="Wingdings 2" w:hAnsi="Wingdings 2" w:eastAsia="Wingdings 2" w:cs="Wingdings 2"/>
      <w:color w:val="000000"/>
      <w:sz w:val="22"/>
      <w:szCs w:val="22"/>
      <w:u w:val="none"/>
    </w:rPr>
  </w:style>
  <w:style w:type="character" w:customStyle="1" w:styleId="9">
    <w:name w:val="font51"/>
    <w:basedOn w:val="6"/>
    <w:qFormat/>
    <w:uiPriority w:val="0"/>
    <w:rPr>
      <w:rFonts w:hint="eastAsia" w:ascii="宋体" w:hAnsi="宋体" w:eastAsia="宋体" w:cs="宋体"/>
      <w:color w:val="000000"/>
      <w:sz w:val="22"/>
      <w:szCs w:val="22"/>
      <w:u w:val="none"/>
    </w:rPr>
  </w:style>
  <w:style w:type="character" w:customStyle="1" w:styleId="10">
    <w:name w:val="font31"/>
    <w:basedOn w:val="6"/>
    <w:qFormat/>
    <w:uiPriority w:val="0"/>
    <w:rPr>
      <w:rFonts w:ascii="Wingdings" w:hAnsi="Wingdings" w:cs="Wingdings"/>
      <w:color w:val="000000"/>
      <w:sz w:val="22"/>
      <w:szCs w:val="22"/>
      <w:u w:val="none"/>
    </w:rPr>
  </w:style>
  <w:style w:type="character" w:customStyle="1" w:styleId="11">
    <w:name w:val="font21"/>
    <w:basedOn w:val="6"/>
    <w:qFormat/>
    <w:uiPriority w:val="0"/>
    <w:rPr>
      <w:rFonts w:ascii="Segoe UI Symbol" w:hAnsi="Segoe UI Symbol" w:eastAsia="Segoe UI Symbol" w:cs="Segoe UI Symbol"/>
      <w:color w:val="000000"/>
      <w:sz w:val="22"/>
      <w:szCs w:val="22"/>
      <w:u w:val="none"/>
    </w:rPr>
  </w:style>
  <w:style w:type="character" w:customStyle="1" w:styleId="12">
    <w:name w:val="font11"/>
    <w:basedOn w:val="6"/>
    <w:qFormat/>
    <w:uiPriority w:val="0"/>
    <w:rPr>
      <w:rFonts w:hint="eastAsia" w:ascii="宋体" w:hAnsi="宋体" w:eastAsia="宋体" w:cs="宋体"/>
      <w:color w:val="000000"/>
      <w:sz w:val="22"/>
      <w:szCs w:val="22"/>
      <w:u w:val="none"/>
    </w:rPr>
  </w:style>
  <w:style w:type="character" w:customStyle="1" w:styleId="13">
    <w:name w:val="font01"/>
    <w:basedOn w:val="6"/>
    <w:qFormat/>
    <w:uiPriority w:val="0"/>
    <w:rPr>
      <w:rFonts w:hint="default" w:ascii="Wingdings" w:hAnsi="Wingdings" w:cs="Wingdings"/>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391</Words>
  <Characters>599</Characters>
  <Lines>51</Lines>
  <Paragraphs>14</Paragraphs>
  <TotalTime>5</TotalTime>
  <ScaleCrop>false</ScaleCrop>
  <LinksUpToDate>false</LinksUpToDate>
  <CharactersWithSpaces>611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2024-07-30T08:59:00Z</dcterms:created>
  <dc:creator>刘昊QD</dc:creator>
  <cp:lastModifiedBy>箛謸囡迋</cp:lastModifiedBy>
  <dcterms:modified xsi:type="dcterms:W3CDTF">2026-10-29T06:07:49Z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3E7D940555534EBD94CA9275F05ACAC0_12</vt:lpwstr>
  </property>
  <property fmtid="{D5CDD505-2E9C-101B-9397-08002B2CF9AE}" pid="4" name="KSOTemplateDocerSaveRecord">
    <vt:lpwstr>eyJoZGlkIjoiMzU3ZjMyYzUxMmRlNDJjZGZlZTk4MzAwMTgxYTJlZjkiLCJ1c2VySWQiOiI0MDIxMDU0ODQifQ==</vt:lpwstr>
  </property>
</Properties>
</file>